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ggie DiCostanz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72" w:right="37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MAGGIE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DICOSTANZO</w:t>
                              </w:r>
                            </w:p>
                            <w:p>
                              <w:pPr>
                                <w:spacing w:before="48"/>
                                <w:ind w:left="372" w:right="37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mdicostanzo@fennemorelaw.com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aggie DiCostanzo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72" w:right="37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MAGGIE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DICOSTANZO</w:t>
                        </w:r>
                      </w:p>
                      <w:p>
                        <w:pPr>
                          <w:spacing w:before="48"/>
                          <w:ind w:left="372" w:right="37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mdicostanzo@fennemorelaw.com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MAGGIE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DICOSTANZO</w:t>
      </w:r>
    </w:p>
    <w:p>
      <w:pPr>
        <w:pStyle w:val="BodyText"/>
        <w:spacing w:line="297" w:lineRule="auto" w:before="147"/>
        <w:ind w:right="391"/>
      </w:pPr>
      <w:r>
        <w:rPr>
          <w:color w:val="6E6158"/>
        </w:rPr>
        <w:t>Maggie</w:t>
      </w:r>
      <w:r>
        <w:rPr>
          <w:color w:val="6E6158"/>
          <w:spacing w:val="29"/>
        </w:rPr>
        <w:t> </w:t>
      </w:r>
      <w:r>
        <w:rPr>
          <w:color w:val="6E6158"/>
        </w:rPr>
        <w:t>DiCostanzo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Director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Fennemore’s</w:t>
      </w:r>
      <w:r>
        <w:rPr>
          <w:color w:val="6E6158"/>
          <w:spacing w:val="29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Finance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Group,</w:t>
        </w:r>
      </w:hyperlink>
      <w:r>
        <w:rPr>
          <w:color w:val="F5821F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brings more than two decades of experience guiding clients through the complex world of health care</w:t>
      </w:r>
      <w:r>
        <w:rPr>
          <w:color w:val="6E6158"/>
          <w:spacing w:val="40"/>
        </w:rPr>
        <w:t> </w:t>
      </w:r>
      <w:r>
        <w:rPr>
          <w:color w:val="6E6158"/>
        </w:rPr>
        <w:t>and intellectual property law.</w:t>
      </w:r>
    </w:p>
    <w:p>
      <w:pPr>
        <w:pStyle w:val="BodyText"/>
        <w:spacing w:line="295" w:lineRule="auto" w:before="191"/>
        <w:ind w:right="699"/>
      </w:pPr>
      <w:r>
        <w:rPr>
          <w:color w:val="6E6158"/>
        </w:rPr>
        <w:t>Maggie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trusted</w:t>
      </w:r>
      <w:r>
        <w:rPr>
          <w:color w:val="6E6158"/>
          <w:spacing w:val="31"/>
        </w:rPr>
        <w:t> </w:t>
      </w:r>
      <w:r>
        <w:rPr>
          <w:color w:val="6E6158"/>
        </w:rPr>
        <w:t>advisor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physicians,</w:t>
      </w:r>
      <w:r>
        <w:rPr>
          <w:color w:val="6E6158"/>
          <w:spacing w:val="31"/>
        </w:rPr>
        <w:t> </w:t>
      </w:r>
      <w:r>
        <w:rPr>
          <w:color w:val="6E6158"/>
        </w:rPr>
        <w:t>hospitals,</w:t>
      </w:r>
      <w:r>
        <w:rPr>
          <w:color w:val="6E6158"/>
          <w:spacing w:val="31"/>
        </w:rPr>
        <w:t> </w:t>
      </w:r>
      <w:r>
        <w:rPr>
          <w:color w:val="6E6158"/>
        </w:rPr>
        <w:t>post-acute</w:t>
      </w:r>
      <w:r>
        <w:rPr>
          <w:color w:val="6E6158"/>
          <w:spacing w:val="31"/>
        </w:rPr>
        <w:t> </w:t>
      </w:r>
      <w:r>
        <w:rPr>
          <w:color w:val="6E6158"/>
        </w:rPr>
        <w:t>care</w:t>
      </w:r>
      <w:r>
        <w:rPr>
          <w:color w:val="6E6158"/>
          <w:spacing w:val="31"/>
        </w:rPr>
        <w:t> </w:t>
      </w:r>
      <w:r>
        <w:rPr>
          <w:color w:val="6E6158"/>
        </w:rPr>
        <w:t>facilities,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other healthcare providers, helping them navigate regulatory compliance, administrative challenges,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liability, and transactions such as the purchase and sale of medical entities. She also</w:t>
      </w:r>
      <w:r>
        <w:rPr>
          <w:color w:val="6E6158"/>
          <w:spacing w:val="40"/>
        </w:rPr>
        <w:t> </w:t>
      </w:r>
      <w:r>
        <w:rPr>
          <w:color w:val="6E6158"/>
        </w:rPr>
        <w:t>works</w:t>
      </w:r>
      <w:r>
        <w:rPr>
          <w:color w:val="6E6158"/>
          <w:spacing w:val="38"/>
        </w:rPr>
        <w:t> </w:t>
      </w:r>
      <w:r>
        <w:rPr>
          <w:color w:val="6E6158"/>
        </w:rPr>
        <w:t>collaboratively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other</w:t>
      </w:r>
      <w:r>
        <w:rPr>
          <w:color w:val="6E6158"/>
          <w:spacing w:val="38"/>
        </w:rPr>
        <w:t> </w:t>
      </w:r>
      <w:r>
        <w:rPr>
          <w:color w:val="6E6158"/>
        </w:rPr>
        <w:t>members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Fennmore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employment</w:t>
      </w:r>
      <w:r>
        <w:rPr>
          <w:color w:val="6E6158"/>
          <w:spacing w:val="38"/>
        </w:rPr>
        <w:t> </w:t>
      </w:r>
      <w:r>
        <w:rPr>
          <w:color w:val="6E6158"/>
        </w:rPr>
        <w:t>matters,</w:t>
      </w:r>
      <w:r>
        <w:rPr>
          <w:color w:val="6E6158"/>
          <w:spacing w:val="38"/>
        </w:rPr>
        <w:t> </w:t>
      </w:r>
      <w:r>
        <w:rPr>
          <w:color w:val="6E6158"/>
        </w:rPr>
        <w:t>corporate</w:t>
      </w:r>
    </w:p>
    <w:p>
      <w:pPr>
        <w:pStyle w:val="BodyText"/>
        <w:spacing w:line="297" w:lineRule="auto" w:before="2"/>
        <w:ind w:right="699"/>
      </w:pPr>
      <w:r>
        <w:rPr>
          <w:color w:val="6E6158"/>
        </w:rPr>
        <w:t>matters, and intellectual property matters. As a registered patent attorney with the U.S. Patent &amp;</w:t>
      </w:r>
      <w:r>
        <w:rPr>
          <w:color w:val="6E6158"/>
          <w:spacing w:val="40"/>
        </w:rPr>
        <w:t> </w:t>
      </w:r>
      <w:r>
        <w:rPr>
          <w:color w:val="6E6158"/>
        </w:rPr>
        <w:t>Trademark Office, she also helps clients protect their innovations – from drafting licensing</w:t>
      </w:r>
      <w:r>
        <w:rPr>
          <w:color w:val="6E6158"/>
          <w:spacing w:val="40"/>
        </w:rPr>
        <w:t> </w:t>
      </w:r>
      <w:r>
        <w:rPr>
          <w:color w:val="6E6158"/>
        </w:rPr>
        <w:t>agreements to advising on trademarks and intellectual property strategy.</w:t>
      </w:r>
    </w:p>
    <w:p>
      <w:pPr>
        <w:pStyle w:val="BodyText"/>
        <w:spacing w:line="295" w:lineRule="auto" w:before="191"/>
        <w:ind w:right="699"/>
      </w:pPr>
      <w:r>
        <w:rPr>
          <w:color w:val="6E6158"/>
        </w:rPr>
        <w:t>A dynamic speaker and author, Maggie has written extensively and presented to healthcare professionals nationwide on pressing issues like HIPAA compliance, telemedicine, reducing professional liability, and post-adverse event communication. Her thought leadership helped</w:t>
      </w:r>
      <w:r>
        <w:rPr>
          <w:color w:val="6E6158"/>
          <w:spacing w:val="40"/>
        </w:rPr>
        <w:t> </w:t>
      </w:r>
      <w:r>
        <w:rPr>
          <w:color w:val="6E6158"/>
        </w:rPr>
        <w:t>shape Pennsylvania’s </w:t>
      </w:r>
      <w:r>
        <w:rPr>
          <w:b/>
          <w:color w:val="6E6158"/>
        </w:rPr>
        <w:t>Benevolent Gesture Liability Act</w:t>
      </w:r>
      <w:r>
        <w:rPr>
          <w:color w:val="6E6158"/>
        </w:rPr>
        <w:t>, giving healthcare professionals the </w:t>
      </w:r>
      <w:r>
        <w:rPr>
          <w:color w:val="6E6158"/>
        </w:rPr>
        <w:t>ability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express</w:t>
      </w:r>
      <w:r>
        <w:rPr>
          <w:color w:val="6E6158"/>
          <w:spacing w:val="29"/>
        </w:rPr>
        <w:t> </w:t>
      </w:r>
      <w:r>
        <w:rPr>
          <w:color w:val="6E6158"/>
        </w:rPr>
        <w:t>compassion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patients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families</w:t>
      </w:r>
      <w:r>
        <w:rPr>
          <w:color w:val="6E6158"/>
          <w:spacing w:val="29"/>
        </w:rPr>
        <w:t> </w:t>
      </w:r>
      <w:r>
        <w:rPr>
          <w:color w:val="6E6158"/>
        </w:rPr>
        <w:t>without</w:t>
      </w:r>
      <w:r>
        <w:rPr>
          <w:color w:val="6E6158"/>
          <w:spacing w:val="29"/>
        </w:rPr>
        <w:t> </w:t>
      </w:r>
      <w:r>
        <w:rPr>
          <w:color w:val="6E6158"/>
        </w:rPr>
        <w:t>fear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repercussions.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also served a 2-year federal clerkship with the Honorable William Caldwell in the United States 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Middle District of PA (2000-2002).</w:t>
      </w:r>
    </w:p>
    <w:p>
      <w:pPr>
        <w:pStyle w:val="BodyText"/>
        <w:spacing w:line="295" w:lineRule="auto" w:before="199"/>
        <w:ind w:right="502"/>
      </w:pPr>
      <w:r>
        <w:rPr>
          <w:color w:val="6E6158"/>
        </w:rPr>
        <w:t>Beyond her practice, Maggie has shared her knowledge as an adjunct professor at Penn State</w:t>
      </w:r>
      <w:r>
        <w:rPr>
          <w:color w:val="6E6158"/>
          <w:spacing w:val="40"/>
        </w:rPr>
        <w:t> </w:t>
      </w:r>
      <w:r>
        <w:rPr>
          <w:color w:val="6E6158"/>
        </w:rPr>
        <w:t>University, York campus, teaching continuing education students about assisted living and</w:t>
      </w:r>
      <w:r>
        <w:rPr>
          <w:color w:val="6E6158"/>
          <w:spacing w:val="80"/>
        </w:rPr>
        <w:t> </w:t>
      </w:r>
      <w:r>
        <w:rPr>
          <w:color w:val="6E6158"/>
        </w:rPr>
        <w:t>personal</w:t>
      </w:r>
      <w:r>
        <w:rPr>
          <w:color w:val="6E6158"/>
          <w:spacing w:val="19"/>
        </w:rPr>
        <w:t> </w:t>
      </w:r>
      <w:r>
        <w:rPr>
          <w:color w:val="6E6158"/>
        </w:rPr>
        <w:t>home</w:t>
      </w:r>
      <w:r>
        <w:rPr>
          <w:color w:val="6E6158"/>
          <w:spacing w:val="19"/>
        </w:rPr>
        <w:t> </w:t>
      </w:r>
      <w:r>
        <w:rPr>
          <w:color w:val="6E6158"/>
        </w:rPr>
        <w:t>care</w:t>
      </w:r>
      <w:r>
        <w:rPr>
          <w:color w:val="6E6158"/>
          <w:spacing w:val="19"/>
        </w:rPr>
        <w:t> </w:t>
      </w:r>
      <w:r>
        <w:rPr>
          <w:color w:val="6E6158"/>
        </w:rPr>
        <w:t>facility</w:t>
      </w:r>
      <w:r>
        <w:rPr>
          <w:color w:val="6E6158"/>
          <w:spacing w:val="19"/>
        </w:rPr>
        <w:t> </w:t>
      </w:r>
      <w:r>
        <w:rPr>
          <w:color w:val="6E6158"/>
        </w:rPr>
        <w:t>regulations.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also</w:t>
      </w:r>
      <w:r>
        <w:rPr>
          <w:color w:val="6E6158"/>
          <w:spacing w:val="19"/>
        </w:rPr>
        <w:t> </w:t>
      </w:r>
      <w:r>
        <w:rPr>
          <w:color w:val="6E6158"/>
        </w:rPr>
        <w:t>deeply</w:t>
      </w:r>
      <w:r>
        <w:rPr>
          <w:color w:val="6E6158"/>
          <w:spacing w:val="19"/>
        </w:rPr>
        <w:t> </w:t>
      </w:r>
      <w:r>
        <w:rPr>
          <w:color w:val="6E6158"/>
        </w:rPr>
        <w:t>committed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service:</w:t>
      </w:r>
      <w:r>
        <w:rPr>
          <w:color w:val="6E6158"/>
          <w:spacing w:val="19"/>
        </w:rPr>
        <w:t> </w:t>
      </w:r>
      <w:r>
        <w:rPr>
          <w:color w:val="6E6158"/>
        </w:rPr>
        <w:t>volunteering</w:t>
      </w:r>
      <w:r>
        <w:rPr>
          <w:color w:val="6E6158"/>
          <w:spacing w:val="19"/>
        </w:rPr>
        <w:t> </w:t>
      </w:r>
      <w:r>
        <w:rPr>
          <w:color w:val="6E6158"/>
        </w:rPr>
        <w:t>as a juror for the Pennsylvania Bar Association’s Mock Trial Program and providing pro bono support</w:t>
      </w:r>
      <w:r>
        <w:rPr>
          <w:color w:val="6E6158"/>
          <w:spacing w:val="80"/>
        </w:rPr>
        <w:t> </w:t>
      </w:r>
      <w:r>
        <w:rPr>
          <w:color w:val="6E6158"/>
        </w:rPr>
        <w:t>to Afghan asylum seekers and pardon project participants. She also volunteers with a local</w:t>
      </w:r>
      <w:r>
        <w:rPr>
          <w:color w:val="6E6158"/>
          <w:spacing w:val="40"/>
        </w:rPr>
        <w:t> </w:t>
      </w:r>
      <w:r>
        <w:rPr>
          <w:color w:val="6E6158"/>
        </w:rPr>
        <w:t>community cat rescue and foster program.</w:t>
      </w:r>
    </w:p>
    <w:p>
      <w:pPr>
        <w:pStyle w:val="BodyText"/>
        <w:spacing w:line="297" w:lineRule="auto" w:before="193"/>
        <w:ind w:right="391"/>
      </w:pPr>
      <w:r>
        <w:rPr>
          <w:color w:val="6E6158"/>
        </w:rPr>
        <w:t>Whether she is advising a hospital system, safeguarding a new medical device innovation, or</w:t>
      </w:r>
      <w:r>
        <w:rPr>
          <w:color w:val="6E6158"/>
          <w:spacing w:val="40"/>
        </w:rPr>
        <w:t> </w:t>
      </w:r>
      <w:r>
        <w:rPr>
          <w:color w:val="6E6158"/>
        </w:rPr>
        <w:t>mentoring the next generation of legal professionals, Maggie brings both legal precision and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passion for problem-solving to every client relationship.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Widener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</w:pPr>
      <w:r>
        <w:rPr>
          <w:color w:val="6E6158"/>
        </w:rPr>
        <w:t>B.S.,</w:t>
      </w:r>
      <w:r>
        <w:rPr>
          <w:color w:val="6E6158"/>
          <w:spacing w:val="14"/>
        </w:rPr>
        <w:t> </w:t>
      </w:r>
      <w:r>
        <w:rPr>
          <w:color w:val="6E6158"/>
        </w:rPr>
        <w:t>Pennsylvania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505"/>
      </w:pPr>
      <w:r>
        <w:rPr>
          <w:color w:val="6E6158"/>
        </w:rPr>
        <w:t>Business &amp; Finance Health Care Intellectual </w:t>
      </w:r>
      <w:r>
        <w:rPr>
          <w:color w:val="6E6158"/>
        </w:rPr>
        <w:t>Property</w:t>
      </w:r>
    </w:p>
    <w:p>
      <w:pPr>
        <w:pStyle w:val="Heading1"/>
        <w:spacing w:before="28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1"/>
        <w:ind w:right="1878"/>
      </w:pPr>
      <w:r>
        <w:rPr>
          <w:color w:val="6E6158"/>
        </w:rPr>
        <w:t>Represented the purchaser of six (6) senior living facilities in </w:t>
      </w:r>
      <w:r>
        <w:rPr>
          <w:color w:val="6E6158"/>
        </w:rPr>
        <w:t>Pennsylvania. Negotiated settlement of Medicaid fraud allegations against a dentist.</w:t>
      </w:r>
    </w:p>
    <w:p>
      <w:pPr>
        <w:pStyle w:val="BodyText"/>
        <w:spacing w:line="420" w:lineRule="auto"/>
        <w:ind w:right="1216"/>
      </w:pPr>
      <w:r>
        <w:rPr>
          <w:color w:val="6E6158"/>
        </w:rPr>
        <w:t>Represented therapists in federal healthcare reimbursement program appeals. Represented</w:t>
      </w:r>
      <w:r>
        <w:rPr>
          <w:color w:val="6E6158"/>
          <w:spacing w:val="18"/>
        </w:rPr>
        <w:t> </w:t>
      </w:r>
      <w:r>
        <w:rPr>
          <w:color w:val="6E6158"/>
        </w:rPr>
        <w:t>physicians</w:t>
      </w:r>
      <w:r>
        <w:rPr>
          <w:color w:val="6E6158"/>
          <w:spacing w:val="18"/>
        </w:rPr>
        <w:t> </w:t>
      </w:r>
      <w:r>
        <w:rPr>
          <w:color w:val="6E6158"/>
        </w:rPr>
        <w:t>before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board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medicine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disciplinary</w:t>
      </w:r>
      <w:r>
        <w:rPr>
          <w:color w:val="6E6158"/>
          <w:spacing w:val="18"/>
        </w:rPr>
        <w:t> </w:t>
      </w:r>
      <w:r>
        <w:rPr>
          <w:color w:val="6E6158"/>
        </w:rPr>
        <w:t>proceedings.</w:t>
      </w:r>
    </w:p>
    <w:p>
      <w:pPr>
        <w:pStyle w:val="BodyText"/>
        <w:spacing w:line="292" w:lineRule="auto" w:before="5"/>
        <w:ind w:right="699"/>
      </w:pPr>
      <w:r>
        <w:rPr>
          <w:color w:val="6E6158"/>
        </w:rPr>
        <w:t>Negotiated joint venture agreement documents for a Pennsylvania practice involving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dialysis centers.</w:t>
      </w:r>
    </w:p>
    <w:p>
      <w:pPr>
        <w:pStyle w:val="BodyText"/>
        <w:spacing w:line="292" w:lineRule="auto" w:before="123"/>
        <w:ind w:right="1216"/>
      </w:pPr>
      <w:r>
        <w:rPr>
          <w:color w:val="6E6158"/>
        </w:rPr>
        <w:t>Represented a multi-practice pain management group in health benefit </w:t>
      </w:r>
      <w:r>
        <w:rPr>
          <w:color w:val="6E6158"/>
        </w:rPr>
        <w:t>reimbursement </w:t>
      </w:r>
      <w:r>
        <w:rPr>
          <w:color w:val="6E6158"/>
          <w:spacing w:val="-2"/>
        </w:rPr>
        <w:t>appeals.</w:t>
      </w:r>
    </w:p>
    <w:p>
      <w:pPr>
        <w:pStyle w:val="BodyText"/>
        <w:spacing w:line="292" w:lineRule="auto" w:before="131"/>
      </w:pPr>
      <w:r>
        <w:rPr>
          <w:color w:val="6E6158"/>
        </w:rPr>
        <w:t>Represented healthcare providers involved in HIPAA data breaches and supported their </w:t>
      </w:r>
      <w:r>
        <w:rPr>
          <w:color w:val="6E6158"/>
        </w:rPr>
        <w:t>initial investigations and reporting.</w:t>
      </w:r>
    </w:p>
    <w:p>
      <w:pPr>
        <w:pStyle w:val="BodyText"/>
        <w:spacing w:line="295" w:lineRule="auto" w:before="124"/>
        <w:ind w:right="699"/>
      </w:pPr>
      <w:r>
        <w:rPr>
          <w:color w:val="6E6158"/>
        </w:rPr>
        <w:t>Drafted vendor contract agreements for a hospital system, including a Master Vendor </w:t>
      </w:r>
      <w:r>
        <w:rPr>
          <w:color w:val="6E6158"/>
        </w:rPr>
        <w:t>Purchase Agreement, consignment agreements, evaluation agreements, affiliation agreements, MOUs,</w:t>
      </w:r>
      <w:r>
        <w:rPr>
          <w:color w:val="6E6158"/>
          <w:spacing w:val="40"/>
        </w:rPr>
        <w:t> </w:t>
      </w:r>
      <w:r>
        <w:rPr>
          <w:color w:val="6E6158"/>
        </w:rPr>
        <w:t>clinical affiliation agreements, non-disclosure agreements and independent contractor</w:t>
      </w:r>
      <w:r>
        <w:rPr>
          <w:color w:val="6E6158"/>
          <w:spacing w:val="40"/>
        </w:rPr>
        <w:t> </w:t>
      </w:r>
      <w:r>
        <w:rPr>
          <w:color w:val="6E6158"/>
        </w:rPr>
        <w:t>agreements to standardize agreements throughout the system.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3144"/>
      </w:pPr>
      <w:r>
        <w:rPr>
          <w:color w:val="6E6158"/>
        </w:rPr>
        <w:t>Former Board Member, County Domestic Violence </w:t>
      </w:r>
      <w:r>
        <w:rPr>
          <w:color w:val="6E6158"/>
        </w:rPr>
        <w:t>Intervention Member, Pennsylvania Bar Association</w:t>
      </w:r>
    </w:p>
    <w:p>
      <w:pPr>
        <w:pStyle w:val="BodyText"/>
        <w:spacing w:line="420" w:lineRule="auto"/>
        <w:ind w:right="5556"/>
      </w:pPr>
      <w:r>
        <w:rPr>
          <w:color w:val="6E6158"/>
        </w:rPr>
        <w:t>Member, American Bar Association Member, Lebanon County Bar </w:t>
      </w:r>
      <w:r>
        <w:rPr>
          <w:color w:val="6E6158"/>
        </w:rPr>
        <w:t>Association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Health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699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We Are Almost Back to Normal Post-COVID, Except When it Comes to Nurse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Staffing</w:t>
        </w:r>
      </w:hyperlink>
      <w:r>
        <w:rPr>
          <w:color w:val="6E6158"/>
        </w:rPr>
        <w:t>,” Fennemore Blog, April 29, 2025</w:t>
      </w:r>
    </w:p>
    <w:p>
      <w:pPr>
        <w:pStyle w:val="BodyText"/>
        <w:spacing w:line="302" w:lineRule="auto" w:before="123"/>
      </w:pPr>
      <w:r>
        <w:rPr>
          <w:color w:val="6E6158"/>
        </w:rPr>
        <w:t>Co-Author, Chapter 2: Contracts and Negotiations,</w:t>
      </w:r>
      <w:r>
        <w:rPr>
          <w:color w:val="6E6158"/>
          <w:spacing w:val="40"/>
        </w:rPr>
        <w:t> </w:t>
      </w:r>
      <w:r>
        <w:rPr>
          <w:color w:val="6E6158"/>
        </w:rPr>
        <w:t>Healthcare Administration, Leadership,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Management (HALM): The Essentials, First Edition, April 18, 2025</w:t>
      </w:r>
    </w:p>
    <w:p>
      <w:pPr>
        <w:pStyle w:val="BodyText"/>
        <w:spacing w:line="292" w:lineRule="auto" w:before="113"/>
      </w:pPr>
      <w:r>
        <w:rPr>
          <w:color w:val="6E6158"/>
        </w:rPr>
        <w:t>Co-presenter, “AI in Managed Care: Legal Uses and Abuses”, American Health Law </w:t>
      </w:r>
      <w:r>
        <w:rPr>
          <w:color w:val="6E6158"/>
        </w:rPr>
        <w:t>Association, Orlando, FL, February 5,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20"/>
        <w:jc w:val="both"/>
      </w:pPr>
      <w:r>
        <w:rPr>
          <w:color w:val="6E6158"/>
        </w:rPr>
        <w:t>Co-Author, Fatigue and Safety. P. Weiss &amp; P. Gluck (Authors) &amp; T. Ivester (Ed.), Quality and Safety</w:t>
      </w:r>
      <w:r>
        <w:rPr>
          <w:color w:val="6E6158"/>
          <w:spacing w:val="40"/>
        </w:rPr>
        <w:t> </w:t>
      </w:r>
      <w:r>
        <w:rPr>
          <w:color w:val="6E6158"/>
        </w:rPr>
        <w:t>in Women’s Health (pp. 144-148). Cambridge: Cambridge University Press, 2018</w:t>
      </w:r>
    </w:p>
    <w:p>
      <w:pPr>
        <w:pStyle w:val="BodyText"/>
        <w:spacing w:line="292" w:lineRule="auto" w:before="132"/>
        <w:ind w:right="746"/>
        <w:jc w:val="both"/>
      </w:pPr>
      <w:r>
        <w:rPr>
          <w:color w:val="6E6158"/>
        </w:rPr>
        <w:t>Author, “Redefining the ‘Legal Medical Record’ and How to Be Prepared to Respond to Legal Requests for a Patient’s Legal Medical Record.” J. of Medical Practice Management. Summer </w:t>
      </w:r>
      <w:r>
        <w:rPr>
          <w:color w:val="6E6158"/>
          <w:spacing w:val="-4"/>
        </w:rPr>
        <w:t>2017</w:t>
      </w:r>
    </w:p>
    <w:p>
      <w:pPr>
        <w:pStyle w:val="BodyText"/>
        <w:spacing w:before="124"/>
        <w:jc w:val="both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“Operation</w:t>
      </w:r>
      <w:r>
        <w:rPr>
          <w:color w:val="6E6158"/>
          <w:spacing w:val="12"/>
        </w:rPr>
        <w:t> </w:t>
      </w:r>
      <w:r>
        <w:rPr>
          <w:color w:val="6E6158"/>
        </w:rPr>
        <w:t>Five-Star:</w:t>
      </w:r>
      <w:r>
        <w:rPr>
          <w:color w:val="6E6158"/>
          <w:spacing w:val="12"/>
        </w:rPr>
        <w:t> </w:t>
      </w:r>
      <w:r>
        <w:rPr>
          <w:color w:val="6E6158"/>
        </w:rPr>
        <w:t>Service</w:t>
      </w:r>
      <w:r>
        <w:rPr>
          <w:color w:val="6E6158"/>
          <w:spacing w:val="12"/>
        </w:rPr>
        <w:t> </w:t>
      </w:r>
      <w:r>
        <w:rPr>
          <w:color w:val="6E6158"/>
        </w:rPr>
        <w:t>Excellence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cultural</w:t>
      </w:r>
    </w:p>
    <w:p>
      <w:pPr>
        <w:pStyle w:val="BodyText"/>
        <w:spacing w:line="292" w:lineRule="auto" w:before="60"/>
        <w:ind w:right="699"/>
      </w:pPr>
      <w:r>
        <w:rPr>
          <w:color w:val="6E6158"/>
        </w:rPr>
        <w:t>competency, post-adverse events, and patient engagement.” Book- Greenbranch </w:t>
      </w:r>
      <w:r>
        <w:rPr>
          <w:color w:val="6E6158"/>
        </w:rPr>
        <w:t>Publishing,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23"/>
        <w:ind w:right="699"/>
      </w:pPr>
      <w:r>
        <w:rPr>
          <w:color w:val="6E6158"/>
        </w:rPr>
        <w:t>Co-Author, “Sorry Works! 2.0 Disclosure, Apology and Relationships Prevent Medical </w:t>
      </w:r>
      <w:r>
        <w:rPr>
          <w:color w:val="6E6158"/>
        </w:rPr>
        <w:t>Malpractice Claims.” (1ST edition 2007) (2d edition 2010) Book</w:t>
      </w:r>
    </w:p>
    <w:p>
      <w:pPr>
        <w:pStyle w:val="BodyText"/>
        <w:spacing w:line="292" w:lineRule="auto" w:before="131"/>
      </w:pPr>
      <w:r>
        <w:rPr>
          <w:color w:val="6E6158"/>
        </w:rPr>
        <w:t>Co-authored with Press Ganey staff: Stefoni A. Bavin, and Sarah Stawiski, “Reduce Liability Risk by</w:t>
      </w:r>
      <w:r>
        <w:rPr>
          <w:color w:val="6E6158"/>
          <w:spacing w:val="40"/>
        </w:rPr>
        <w:t> </w:t>
      </w:r>
      <w:r>
        <w:rPr>
          <w:color w:val="6E6158"/>
        </w:rPr>
        <w:t>Improving Your Patient Satisfaction.” Press Ganey, Jul. 2008</w:t>
      </w:r>
    </w:p>
    <w:p>
      <w:pPr>
        <w:pStyle w:val="BodyText"/>
        <w:spacing w:line="292" w:lineRule="auto" w:before="124"/>
        <w:ind w:right="580"/>
      </w:pPr>
      <w:r>
        <w:rPr>
          <w:color w:val="6E6158"/>
        </w:rPr>
        <w:t>Speaker, “The Consequences on the End of the COVID Public Health Emergency on Tele-Behavioral</w:t>
      </w:r>
      <w:r>
        <w:rPr>
          <w:color w:val="6E6158"/>
          <w:spacing w:val="15"/>
        </w:rPr>
        <w:t> </w:t>
      </w:r>
      <w:r>
        <w:rPr>
          <w:color w:val="6E6158"/>
        </w:rPr>
        <w:t>Health”,</w:t>
      </w:r>
      <w:r>
        <w:rPr>
          <w:color w:val="6E6158"/>
          <w:spacing w:val="15"/>
        </w:rPr>
        <w:t> </w:t>
      </w:r>
      <w:r>
        <w:rPr>
          <w:color w:val="6E6158"/>
        </w:rPr>
        <w:t>MyLawCLE</w:t>
      </w:r>
      <w:r>
        <w:rPr>
          <w:color w:val="6E6158"/>
          <w:spacing w:val="15"/>
        </w:rPr>
        <w:t> </w:t>
      </w:r>
      <w:r>
        <w:rPr>
          <w:color w:val="6E6158"/>
        </w:rPr>
        <w:t>webinar,</w:t>
      </w:r>
      <w:r>
        <w:rPr>
          <w:color w:val="6E6158"/>
          <w:spacing w:val="15"/>
        </w:rPr>
        <w:t> </w:t>
      </w:r>
      <w:r>
        <w:rPr>
          <w:color w:val="6E6158"/>
        </w:rPr>
        <w:t>sponsored</w:t>
      </w:r>
      <w:r>
        <w:rPr>
          <w:color w:val="6E6158"/>
          <w:spacing w:val="15"/>
        </w:rPr>
        <w:t> </w:t>
      </w:r>
      <w:r>
        <w:rPr>
          <w:color w:val="6E6158"/>
        </w:rPr>
        <w:t>by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Association,</w:t>
      </w:r>
      <w:r>
        <w:rPr>
          <w:color w:val="6E6158"/>
          <w:spacing w:val="15"/>
        </w:rPr>
        <w:t> </w:t>
      </w:r>
      <w:r>
        <w:rPr>
          <w:color w:val="6E6158"/>
        </w:rPr>
        <w:t>April</w:t>
      </w:r>
      <w:r>
        <w:rPr>
          <w:color w:val="6E6158"/>
          <w:spacing w:val="15"/>
        </w:rPr>
        <w:t> </w:t>
      </w:r>
      <w:r>
        <w:rPr>
          <w:color w:val="6E6158"/>
        </w:rPr>
        <w:t>18,</w:t>
      </w:r>
      <w:r>
        <w:rPr>
          <w:color w:val="6E6158"/>
          <w:spacing w:val="15"/>
        </w:rPr>
        <w:t> </w:t>
      </w:r>
      <w:r>
        <w:rPr>
          <w:color w:val="6E6158"/>
        </w:rPr>
        <w:t>2023</w:t>
      </w:r>
    </w:p>
    <w:p>
      <w:pPr>
        <w:pStyle w:val="BodyText"/>
        <w:spacing w:line="292" w:lineRule="auto" w:before="131"/>
        <w:ind w:right="919"/>
        <w:jc w:val="both"/>
      </w:pPr>
      <w:r>
        <w:rPr>
          <w:color w:val="6E6158"/>
        </w:rPr>
        <w:t>Speaker, “Working Group on Overcoming the Challenge Associated with Electronic Medical Records, Patient Portals and Audit Trails in Obstetrics Practice”, ACI’s 17th Annual Advanced Forum on Obstetric Malpractice Claims, co-presenter, Jun. 26, 2018, Philadelphia, PA</w:t>
      </w:r>
    </w:p>
    <w:p>
      <w:pPr>
        <w:pStyle w:val="BodyText"/>
        <w:spacing w:line="292" w:lineRule="auto" w:before="132"/>
        <w:ind w:right="673"/>
        <w:jc w:val="both"/>
      </w:pPr>
      <w:r>
        <w:rPr>
          <w:color w:val="6E6158"/>
        </w:rPr>
        <w:t>Speaker, “Proactively Mitigate HIPAA Data Breach Costs in the Healthcare Setting”, </w:t>
      </w:r>
      <w:r>
        <w:rPr>
          <w:color w:val="6E6158"/>
        </w:rPr>
        <w:t>Healthcare Financial Management Association Educational Seminar, Central Pa. Chapter, Nov. 5, 2015,</w:t>
      </w:r>
    </w:p>
    <w:p>
      <w:pPr>
        <w:pStyle w:val="BodyText"/>
        <w:spacing w:before="1"/>
        <w:jc w:val="both"/>
      </w:pPr>
      <w:r>
        <w:rPr>
          <w:color w:val="6E6158"/>
        </w:rPr>
        <w:t>Enola,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PA</w:t>
      </w:r>
    </w:p>
    <w:p>
      <w:pPr>
        <w:pStyle w:val="BodyText"/>
        <w:spacing w:line="302" w:lineRule="auto" w:before="174"/>
        <w:ind w:right="391"/>
      </w:pPr>
      <w:r>
        <w:rPr>
          <w:color w:val="6E6158"/>
        </w:rPr>
        <w:t>Speaker, “Documentation and Event Management”, Educational presentation for Willow </w:t>
      </w:r>
      <w:r>
        <w:rPr>
          <w:color w:val="6E6158"/>
        </w:rPr>
        <w:t>Valley Retirement Communities Staff, Jun. 10, 2015, Willow Valley Retirement Community</w:t>
      </w:r>
    </w:p>
    <w:p>
      <w:pPr>
        <w:pStyle w:val="BodyText"/>
        <w:spacing w:line="292" w:lineRule="auto" w:before="113"/>
      </w:pPr>
      <w:r>
        <w:rPr>
          <w:color w:val="6E6158"/>
        </w:rPr>
        <w:t>Speaker, “The Basics of Pennsylvania’s Advance Directives for Post-Acute Facilities and </w:t>
      </w:r>
      <w:r>
        <w:rPr>
          <w:color w:val="6E6158"/>
        </w:rPr>
        <w:t>Staff”, Pennsylvania Health Care Association, Webinar, May 19, 2015</w:t>
      </w:r>
    </w:p>
    <w:p>
      <w:pPr>
        <w:pStyle w:val="BodyText"/>
        <w:spacing w:line="302" w:lineRule="auto" w:before="123"/>
        <w:ind w:right="699"/>
      </w:pPr>
      <w:r>
        <w:rPr>
          <w:color w:val="6E6158"/>
        </w:rPr>
        <w:t>Speaker, “Professionalism in a Changing Workplace: Strategies for Avoiding and </w:t>
      </w:r>
      <w:r>
        <w:rPr>
          <w:color w:val="6E6158"/>
        </w:rPr>
        <w:t>Managing Conduct Reviews”, Am. Coll. of Obstetricians &amp; Gynecologists Webinar, March 10, 2015</w:t>
      </w:r>
    </w:p>
    <w:p>
      <w:pPr>
        <w:pStyle w:val="BodyText"/>
        <w:spacing w:line="292" w:lineRule="auto" w:before="113"/>
        <w:ind w:right="699"/>
      </w:pPr>
      <w:r>
        <w:rPr>
          <w:color w:val="6E6158"/>
        </w:rPr>
        <w:t>Speaker, “Reducing your Professional Liability Risk and Enhancing your Practice”, </w:t>
      </w:r>
      <w:r>
        <w:rPr>
          <w:color w:val="6E6158"/>
        </w:rPr>
        <w:t>American College of Surgeons Surgery Resident Program, Oct. 27, 2014, San Francisco, CA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Pennsylvania</w:t>
      </w:r>
    </w:p>
    <w:p>
      <w:pPr>
        <w:pStyle w:val="BodyText"/>
        <w:spacing w:before="174"/>
      </w:pPr>
      <w:r>
        <w:rPr>
          <w:color w:val="6E6158"/>
        </w:rPr>
        <w:t>Supreme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422" w:lineRule="auto" w:before="174"/>
        <w:ind w:right="3144"/>
      </w:pPr>
      <w:r>
        <w:rPr>
          <w:color w:val="6E6158"/>
        </w:rPr>
        <w:t>United States District Court for the Middle District of Pennsylvania United States District Court for the Eastern District of Pennsylvania United States District Court for the Western District of </w:t>
      </w:r>
      <w:r>
        <w:rPr>
          <w:color w:val="6E6158"/>
        </w:rPr>
        <w:t>Pennsylvania United States Patent and Trademark Office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dicostanzo@fennemorelaw.com" TargetMode="External"/><Relationship Id="rId11" Type="http://schemas.openxmlformats.org/officeDocument/2006/relationships/hyperlink" Target="https://www.fennemorelaw.com/we-are-almost-back-to-normal-post-covid-except-when-it-comes-to-nurse-staff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 DiCostanzo - Fennemore</dc:title>
  <dcterms:created xsi:type="dcterms:W3CDTF">2026-06-12T09:47:07Z</dcterms:created>
  <dcterms:modified xsi:type="dcterms:W3CDTF">2026-06-12T09:47:07Z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