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ke Kitchen bio v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77" w:right="77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MICHAEL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KITCHEN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48"/>
                                <w:ind w:left="777" w:right="779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777" w:right="7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77" w:right="7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777" w:right="77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mkitchen@fennemorelaw.com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ike Kitchen bio v1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77" w:right="77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MICHAEL </w:t>
                        </w:r>
                        <w:r>
                          <w:rPr>
                            <w:color w:val="FFFFFF"/>
                            <w:sz w:val="39"/>
                          </w:rPr>
                          <w:t>KITCHEN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48"/>
                          <w:ind w:left="777" w:right="779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777" w:right="779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777" w:right="779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777" w:right="779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mkitchen@fennemorelaw.com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FF8100"/>
        </w:rPr>
        <w:t>MICHAEL</w:t>
      </w:r>
      <w:r>
        <w:rPr>
          <w:color w:val="FF8100"/>
          <w:spacing w:val="11"/>
        </w:rPr>
        <w:t> </w:t>
      </w:r>
      <w:r>
        <w:rPr>
          <w:color w:val="FF8100"/>
        </w:rPr>
        <w:t>KITCHEN</w:t>
      </w:r>
      <w:r>
        <w:rPr>
          <w:color w:val="FF8100"/>
          <w:spacing w:val="11"/>
        </w:rPr>
        <w:t> </w:t>
      </w:r>
      <w:r>
        <w:rPr>
          <w:color w:val="FF8100"/>
          <w:spacing w:val="-5"/>
        </w:rPr>
        <w:t>JR.</w:t>
      </w:r>
    </w:p>
    <w:p>
      <w:pPr>
        <w:pStyle w:val="BodyText"/>
        <w:spacing w:line="295" w:lineRule="auto" w:before="147"/>
        <w:ind w:right="768"/>
      </w:pPr>
      <w:r>
        <w:rPr>
          <w:color w:val="6E6158"/>
        </w:rPr>
        <w:t>Michael Kitchen Jr.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and Probate Litigation practice groups. He assists clients with probate disputes (including representing both </w:t>
      </w:r>
      <w:r>
        <w:rPr>
          <w:color w:val="6E6158"/>
        </w:rPr>
        <w:t>personal</w:t>
      </w:r>
      <w:r>
        <w:rPr>
          <w:color w:val="6E6158"/>
          <w:spacing w:val="40"/>
        </w:rPr>
        <w:t> </w:t>
      </w:r>
      <w:r>
        <w:rPr>
          <w:color w:val="6E6158"/>
        </w:rPr>
        <w:t>representatives and trustees as well as beneficiaries in will and trust contests and disputes,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  <w:r>
        <w:rPr>
          <w:color w:val="6E6158"/>
          <w:spacing w:val="40"/>
        </w:rPr>
        <w:t> </w:t>
      </w:r>
      <w:r>
        <w:rPr>
          <w:color w:val="6E6158"/>
        </w:rPr>
        <w:t>exploitation,</w:t>
      </w:r>
      <w:r>
        <w:rPr>
          <w:color w:val="6E6158"/>
          <w:spacing w:val="40"/>
        </w:rPr>
        <w:t> </w:t>
      </w:r>
      <w:r>
        <w:rPr>
          <w:color w:val="6E6158"/>
        </w:rPr>
        <w:t>capacity,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undue</w:t>
      </w:r>
      <w:r>
        <w:rPr>
          <w:color w:val="6E6158"/>
          <w:spacing w:val="40"/>
        </w:rPr>
        <w:t> </w:t>
      </w:r>
      <w:r>
        <w:rPr>
          <w:color w:val="6E6158"/>
        </w:rPr>
        <w:t>influence</w:t>
      </w:r>
      <w:r>
        <w:rPr>
          <w:color w:val="6E6158"/>
          <w:spacing w:val="40"/>
        </w:rPr>
        <w:t> </w:t>
      </w:r>
      <w:r>
        <w:rPr>
          <w:color w:val="6E6158"/>
        </w:rPr>
        <w:t>issues),</w:t>
      </w:r>
      <w:r>
        <w:rPr>
          <w:color w:val="6E6158"/>
          <w:spacing w:val="40"/>
        </w:rPr>
        <w:t> </w:t>
      </w:r>
      <w:r>
        <w:rPr>
          <w:color w:val="6E6158"/>
        </w:rPr>
        <w:t>partnership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</w:p>
    <w:p>
      <w:pPr>
        <w:pStyle w:val="BodyText"/>
        <w:spacing w:before="1"/>
      </w:pPr>
      <w:r>
        <w:rPr>
          <w:color w:val="6E6158"/>
        </w:rPr>
        <w:t>disputes,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torts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before="22"/>
        <w:ind w:left="0"/>
      </w:pPr>
    </w:p>
    <w:p>
      <w:pPr>
        <w:pStyle w:val="BodyText"/>
        <w:spacing w:line="295" w:lineRule="auto" w:before="1"/>
        <w:ind w:right="689"/>
      </w:pPr>
      <w:r>
        <w:rPr>
          <w:color w:val="6E6158"/>
        </w:rPr>
        <w:t>Prior to joining Fennemore, Michael served as an attorney at a top-rated law firm where he</w:t>
      </w:r>
      <w:r>
        <w:rPr>
          <w:color w:val="6E6158"/>
          <w:spacing w:val="40"/>
        </w:rPr>
        <w:t> </w:t>
      </w:r>
      <w:r>
        <w:rPr>
          <w:color w:val="6E6158"/>
        </w:rPr>
        <w:t>focused his practice on business and contract disputes and probate litigation. With over 25 </w:t>
      </w:r>
      <w:r>
        <w:rPr>
          <w:color w:val="6E6158"/>
        </w:rPr>
        <w:t>years</w:t>
      </w:r>
      <w:r>
        <w:rPr>
          <w:color w:val="6E6158"/>
          <w:spacing w:val="80"/>
        </w:rPr>
        <w:t> </w:t>
      </w:r>
      <w:r>
        <w:rPr>
          <w:color w:val="6E6158"/>
        </w:rPr>
        <w:t>of experience, Michael has obtained favorable results in numerous matters, including an appeal</w:t>
      </w:r>
      <w:r>
        <w:rPr>
          <w:color w:val="6E6158"/>
          <w:spacing w:val="40"/>
        </w:rPr>
        <w:t> </w:t>
      </w:r>
      <w:r>
        <w:rPr>
          <w:color w:val="6E6158"/>
        </w:rPr>
        <w:t>concerning a claim against the Arizona Attorney General, overcoming the defense of absolute</w:t>
      </w:r>
      <w:r>
        <w:rPr>
          <w:color w:val="6E6158"/>
          <w:spacing w:val="40"/>
        </w:rPr>
        <w:t> </w:t>
      </w:r>
      <w:r>
        <w:rPr>
          <w:color w:val="6E6158"/>
        </w:rPr>
        <w:t>executive immunity, an appeal in defense of a racketeering claim relating to a labor dispute, a</w:t>
      </w:r>
      <w:r>
        <w:rPr>
          <w:color w:val="6E6158"/>
          <w:spacing w:val="40"/>
        </w:rPr>
        <w:t> </w:t>
      </w:r>
      <w:r>
        <w:rPr>
          <w:color w:val="6E6158"/>
        </w:rPr>
        <w:t>resolution during jury trial in a multimillion-dollar accounting liability case, two successive bench</w:t>
      </w:r>
      <w:r>
        <w:rPr>
          <w:color w:val="6E6158"/>
          <w:spacing w:val="40"/>
        </w:rPr>
        <w:t> </w:t>
      </w:r>
      <w:r>
        <w:rPr>
          <w:color w:val="6E6158"/>
        </w:rPr>
        <w:t>trials</w:t>
      </w:r>
      <w:r>
        <w:rPr>
          <w:color w:val="6E6158"/>
          <w:spacing w:val="34"/>
        </w:rPr>
        <w:t> </w:t>
      </w:r>
      <w:r>
        <w:rPr>
          <w:color w:val="6E6158"/>
        </w:rPr>
        <w:t>concerning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partnership</w:t>
      </w:r>
      <w:r>
        <w:rPr>
          <w:color w:val="6E6158"/>
          <w:spacing w:val="34"/>
        </w:rPr>
        <w:t> </w:t>
      </w:r>
      <w:r>
        <w:rPr>
          <w:color w:val="6E6158"/>
        </w:rPr>
        <w:t>dispute,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successful</w:t>
      </w:r>
      <w:r>
        <w:rPr>
          <w:color w:val="6E6158"/>
          <w:spacing w:val="34"/>
        </w:rPr>
        <w:t> </w:t>
      </w:r>
      <w:r>
        <w:rPr>
          <w:color w:val="6E6158"/>
        </w:rPr>
        <w:t>outcomes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numerous</w:t>
      </w:r>
      <w:r>
        <w:rPr>
          <w:color w:val="6E6158"/>
          <w:spacing w:val="34"/>
        </w:rPr>
        <w:t> </w:t>
      </w:r>
      <w:r>
        <w:rPr>
          <w:color w:val="6E6158"/>
        </w:rPr>
        <w:t>jury</w:t>
      </w:r>
      <w:r>
        <w:rPr>
          <w:color w:val="6E6158"/>
          <w:spacing w:val="34"/>
        </w:rPr>
        <w:t> </w:t>
      </w:r>
      <w:r>
        <w:rPr>
          <w:color w:val="6E6158"/>
        </w:rPr>
        <w:t>trials.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  <w:spacing w:line="420" w:lineRule="auto" w:before="0"/>
        <w:ind w:right="3941"/>
      </w:pP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B.A., University of Arizona</w:t>
      </w:r>
    </w:p>
    <w:p>
      <w:pPr>
        <w:spacing w:before="28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BodyText"/>
        <w:spacing w:line="420" w:lineRule="auto" w:before="0"/>
        <w:ind w:right="7644"/>
      </w:pPr>
      <w:r>
        <w:rPr>
          <w:color w:val="6E6158"/>
        </w:rPr>
        <w:t>Civil Litigation Probate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2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768"/>
      </w:pPr>
      <w:r>
        <w:rPr>
          <w:color w:val="6E6158"/>
        </w:rPr>
        <w:t>Prevailed on appeal concerning a claim against the Arizona Attorney General, overcoming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defense of absolute executive immunity. 214 Ariz. 175 Div. 1, 2007</w:t>
      </w:r>
    </w:p>
    <w:p>
      <w:pPr>
        <w:pStyle w:val="BodyText"/>
        <w:spacing w:line="292" w:lineRule="auto" w:before="132"/>
        <w:ind w:right="768"/>
      </w:pPr>
      <w:r>
        <w:rPr>
          <w:color w:val="6E6158"/>
        </w:rPr>
        <w:t>Prevailed on appeal in the defense of a racketeering claim relating to labor dispute. 615 F.3d</w:t>
      </w:r>
      <w:r>
        <w:rPr>
          <w:color w:val="6E6158"/>
          <w:spacing w:val="40"/>
        </w:rPr>
        <w:t> </w:t>
      </w:r>
      <w:r>
        <w:rPr>
          <w:color w:val="6E6158"/>
        </w:rPr>
        <w:t>312 4th Cir., 2010</w:t>
      </w:r>
    </w:p>
    <w:p>
      <w:pPr>
        <w:pStyle w:val="BodyText"/>
        <w:spacing w:line="420" w:lineRule="auto"/>
        <w:ind w:right="768"/>
      </w:pPr>
      <w:r>
        <w:rPr>
          <w:color w:val="6E6158"/>
        </w:rPr>
        <w:t>Prevailed on appeal in a real estate purchase contract matter. 2019 WL 4793123 Div. 1, 2020 Prevailed on appeal in a business dispute. 2020 WL 6140626 Div. 1, 2020</w:t>
      </w:r>
    </w:p>
    <w:p>
      <w:pPr>
        <w:pStyle w:val="BodyText"/>
        <w:spacing w:before="7"/>
      </w:pPr>
      <w:r>
        <w:rPr>
          <w:color w:val="6E6158"/>
        </w:rPr>
        <w:t>Prevailed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10"/>
        </w:rPr>
        <w:t> </w:t>
      </w:r>
      <w:r>
        <w:rPr>
          <w:color w:val="6E6158"/>
        </w:rPr>
        <w:t>appeal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purchase</w:t>
      </w:r>
      <w:r>
        <w:rPr>
          <w:color w:val="6E6158"/>
          <w:spacing w:val="10"/>
        </w:rPr>
        <w:t> </w:t>
      </w:r>
      <w:r>
        <w:rPr>
          <w:color w:val="6E6158"/>
        </w:rPr>
        <w:t>contract</w:t>
      </w:r>
      <w:r>
        <w:rPr>
          <w:color w:val="6E6158"/>
          <w:spacing w:val="10"/>
        </w:rPr>
        <w:t> </w:t>
      </w:r>
      <w:r>
        <w:rPr>
          <w:color w:val="6E6158"/>
        </w:rPr>
        <w:t>matter.</w:t>
      </w:r>
      <w:r>
        <w:rPr>
          <w:color w:val="6E6158"/>
          <w:spacing w:val="10"/>
        </w:rPr>
        <w:t> </w:t>
      </w:r>
      <w:r>
        <w:rPr>
          <w:color w:val="6E6158"/>
        </w:rPr>
        <w:t>2020</w:t>
      </w:r>
      <w:r>
        <w:rPr>
          <w:color w:val="6E6158"/>
          <w:spacing w:val="10"/>
        </w:rPr>
        <w:t> </w:t>
      </w:r>
      <w:r>
        <w:rPr>
          <w:color w:val="6E6158"/>
        </w:rPr>
        <w:t>WL</w:t>
      </w:r>
      <w:r>
        <w:rPr>
          <w:color w:val="6E6158"/>
          <w:spacing w:val="9"/>
        </w:rPr>
        <w:t> </w:t>
      </w:r>
      <w:r>
        <w:rPr>
          <w:color w:val="6E6158"/>
        </w:rPr>
        <w:t>1862376</w:t>
      </w:r>
      <w:r>
        <w:rPr>
          <w:color w:val="6E6158"/>
          <w:spacing w:val="10"/>
        </w:rPr>
        <w:t> </w:t>
      </w:r>
      <w:r>
        <w:rPr>
          <w:color w:val="6E6158"/>
        </w:rPr>
        <w:t>Div.</w:t>
      </w:r>
      <w:r>
        <w:rPr>
          <w:color w:val="6E6158"/>
          <w:spacing w:val="10"/>
        </w:rPr>
        <w:t> </w:t>
      </w:r>
      <w:r>
        <w:rPr>
          <w:color w:val="6E6158"/>
        </w:rPr>
        <w:t>1,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73"/>
        <w:ind w:right="501"/>
      </w:pPr>
      <w:r>
        <w:rPr>
          <w:color w:val="6E6158"/>
        </w:rPr>
        <w:t>Prevailed on appeal in a contract and business tort case relating to a real estate utility dispute. 2</w:t>
      </w:r>
      <w:r>
        <w:rPr>
          <w:color w:val="6E6158"/>
          <w:spacing w:val="40"/>
        </w:rPr>
        <w:t> </w:t>
      </w:r>
      <w:r>
        <w:rPr>
          <w:color w:val="6E6158"/>
        </w:rPr>
        <w:t>CA-CV 2004-0042 Div. 2, 2005</w:t>
      </w:r>
    </w:p>
    <w:p>
      <w:pPr>
        <w:pStyle w:val="BodyText"/>
        <w:spacing w:before="124"/>
      </w:pPr>
      <w:r>
        <w:rPr>
          <w:color w:val="6E6158"/>
        </w:rPr>
        <w:t>Prevailed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appeal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partnership</w:t>
      </w:r>
      <w:r>
        <w:rPr>
          <w:color w:val="6E6158"/>
          <w:spacing w:val="12"/>
        </w:rPr>
        <w:t> </w:t>
      </w:r>
      <w:r>
        <w:rPr>
          <w:color w:val="6E6158"/>
        </w:rPr>
        <w:t>contract</w:t>
      </w:r>
      <w:r>
        <w:rPr>
          <w:color w:val="6E6158"/>
          <w:spacing w:val="12"/>
        </w:rPr>
        <w:t> </w:t>
      </w:r>
      <w:r>
        <w:rPr>
          <w:color w:val="6E6158"/>
        </w:rPr>
        <w:t>dispute.</w:t>
      </w:r>
      <w:r>
        <w:rPr>
          <w:color w:val="6E6158"/>
          <w:spacing w:val="12"/>
        </w:rPr>
        <w:t> </w:t>
      </w:r>
      <w:r>
        <w:rPr>
          <w:color w:val="6E6158"/>
        </w:rPr>
        <w:t>CA-CV</w:t>
      </w:r>
      <w:r>
        <w:rPr>
          <w:color w:val="6E6158"/>
          <w:spacing w:val="12"/>
        </w:rPr>
        <w:t> </w:t>
      </w:r>
      <w:r>
        <w:rPr>
          <w:color w:val="6E6158"/>
        </w:rPr>
        <w:t>2005-0321</w:t>
      </w:r>
      <w:r>
        <w:rPr>
          <w:color w:val="6E6158"/>
          <w:spacing w:val="12"/>
        </w:rPr>
        <w:t> </w:t>
      </w:r>
      <w:r>
        <w:rPr>
          <w:color w:val="6E6158"/>
        </w:rPr>
        <w:t>Div.</w:t>
      </w:r>
      <w:r>
        <w:rPr>
          <w:color w:val="6E6158"/>
          <w:spacing w:val="12"/>
        </w:rPr>
        <w:t> </w:t>
      </w:r>
      <w:r>
        <w:rPr>
          <w:color w:val="6E6158"/>
        </w:rPr>
        <w:t>1,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2006</w:t>
      </w:r>
    </w:p>
    <w:p>
      <w:pPr>
        <w:pStyle w:val="BodyText"/>
        <w:spacing w:line="292" w:lineRule="auto" w:before="182"/>
        <w:ind w:right="840"/>
      </w:pPr>
      <w:r>
        <w:rPr>
          <w:color w:val="6E6158"/>
        </w:rPr>
        <w:t>Successful</w:t>
      </w:r>
      <w:r>
        <w:rPr>
          <w:color w:val="6E6158"/>
          <w:spacing w:val="18"/>
        </w:rPr>
        <w:t> </w:t>
      </w:r>
      <w:r>
        <w:rPr>
          <w:color w:val="6E6158"/>
        </w:rPr>
        <w:t>resolution</w:t>
      </w:r>
      <w:r>
        <w:rPr>
          <w:color w:val="6E6158"/>
          <w:spacing w:val="18"/>
        </w:rPr>
        <w:t> </w:t>
      </w:r>
      <w:r>
        <w:rPr>
          <w:color w:val="6E6158"/>
        </w:rPr>
        <w:t>during</w:t>
      </w:r>
      <w:r>
        <w:rPr>
          <w:color w:val="6E6158"/>
          <w:spacing w:val="18"/>
        </w:rPr>
        <w:t> </w:t>
      </w:r>
      <w:r>
        <w:rPr>
          <w:color w:val="6E6158"/>
        </w:rPr>
        <w:t>jury</w:t>
      </w:r>
      <w:r>
        <w:rPr>
          <w:color w:val="6E6158"/>
          <w:spacing w:val="18"/>
        </w:rPr>
        <w:t> </w:t>
      </w:r>
      <w:r>
        <w:rPr>
          <w:color w:val="6E6158"/>
        </w:rPr>
        <w:t>trial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multimillion-dollar</w:t>
      </w:r>
      <w:r>
        <w:rPr>
          <w:color w:val="6E6158"/>
          <w:spacing w:val="18"/>
        </w:rPr>
        <w:t> </w:t>
      </w:r>
      <w:r>
        <w:rPr>
          <w:color w:val="6E6158"/>
        </w:rPr>
        <w:t>accounting</w:t>
      </w:r>
      <w:r>
        <w:rPr>
          <w:color w:val="6E6158"/>
          <w:spacing w:val="18"/>
        </w:rPr>
        <w:t> </w:t>
      </w:r>
      <w:r>
        <w:rPr>
          <w:color w:val="6E6158"/>
        </w:rPr>
        <w:t>liability</w:t>
      </w:r>
      <w:r>
        <w:rPr>
          <w:color w:val="6E6158"/>
          <w:spacing w:val="18"/>
        </w:rPr>
        <w:t> </w:t>
      </w:r>
      <w:r>
        <w:rPr>
          <w:color w:val="6E6158"/>
        </w:rPr>
        <w:t>case.</w:t>
      </w:r>
      <w:r>
        <w:rPr>
          <w:color w:val="6E6158"/>
          <w:spacing w:val="18"/>
        </w:rPr>
        <w:t> </w:t>
      </w:r>
      <w:r>
        <w:rPr>
          <w:color w:val="6E6158"/>
        </w:rPr>
        <w:t>2002-</w:t>
      </w:r>
      <w:r>
        <w:rPr>
          <w:color w:val="6E6158"/>
        </w:rPr>
        <w:t>CC-0869 La. 2003</w:t>
      </w:r>
    </w:p>
    <w:p>
      <w:pPr>
        <w:pStyle w:val="BodyText"/>
        <w:spacing w:line="420" w:lineRule="auto"/>
      </w:pPr>
      <w:r>
        <w:rPr>
          <w:color w:val="6E6158"/>
        </w:rPr>
        <w:t>Successful verdict in a jury trial concerning a complex partnership dispute. CV2004-018733 </w:t>
      </w:r>
      <w:r>
        <w:rPr>
          <w:color w:val="6E6158"/>
        </w:rPr>
        <w:t>2005</w:t>
      </w:r>
      <w:r>
        <w:rPr>
          <w:color w:val="6E6158"/>
          <w:spacing w:val="40"/>
        </w:rPr>
        <w:t> </w:t>
      </w:r>
      <w:r>
        <w:rPr>
          <w:color w:val="6E6158"/>
        </w:rPr>
        <w:t>Successful</w:t>
      </w:r>
      <w:r>
        <w:rPr>
          <w:color w:val="6E6158"/>
          <w:spacing w:val="13"/>
        </w:rPr>
        <w:t> </w:t>
      </w:r>
      <w:r>
        <w:rPr>
          <w:color w:val="6E6158"/>
        </w:rPr>
        <w:t>verdict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jury</w:t>
      </w:r>
      <w:r>
        <w:rPr>
          <w:color w:val="6E6158"/>
          <w:spacing w:val="14"/>
        </w:rPr>
        <w:t> </w:t>
      </w:r>
      <w:r>
        <w:rPr>
          <w:color w:val="6E6158"/>
        </w:rPr>
        <w:t>trial</w:t>
      </w:r>
      <w:r>
        <w:rPr>
          <w:color w:val="6E6158"/>
          <w:spacing w:val="14"/>
        </w:rPr>
        <w:t> </w:t>
      </w:r>
      <w:r>
        <w:rPr>
          <w:color w:val="6E6158"/>
        </w:rPr>
        <w:t>concerning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complex</w:t>
      </w:r>
      <w:r>
        <w:rPr>
          <w:color w:val="6E6158"/>
          <w:spacing w:val="14"/>
        </w:rPr>
        <w:t> </w:t>
      </w:r>
      <w:r>
        <w:rPr>
          <w:color w:val="6E6158"/>
        </w:rPr>
        <w:t>partnership</w:t>
      </w:r>
      <w:r>
        <w:rPr>
          <w:color w:val="6E6158"/>
          <w:spacing w:val="14"/>
        </w:rPr>
        <w:t> </w:t>
      </w:r>
      <w:r>
        <w:rPr>
          <w:color w:val="6E6158"/>
        </w:rPr>
        <w:t>dispute.</w:t>
      </w:r>
      <w:r>
        <w:rPr>
          <w:color w:val="6E6158"/>
          <w:spacing w:val="14"/>
        </w:rPr>
        <w:t> </w:t>
      </w:r>
      <w:r>
        <w:rPr>
          <w:color w:val="6E6158"/>
        </w:rPr>
        <w:t>CV2008-052857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2011</w:t>
      </w:r>
    </w:p>
    <w:p>
      <w:pPr>
        <w:pStyle w:val="BodyText"/>
        <w:spacing w:line="292" w:lineRule="auto" w:before="7"/>
        <w:ind w:right="768"/>
      </w:pPr>
      <w:r>
        <w:rPr>
          <w:color w:val="6E6158"/>
        </w:rPr>
        <w:t>Successfully defended a company from multimillion-dollar claims in a jury trial. CV2008-</w:t>
      </w:r>
      <w:r>
        <w:rPr>
          <w:color w:val="6E6158"/>
        </w:rPr>
        <w:t>000141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</w:pPr>
      <w:r>
        <w:rPr>
          <w:color w:val="6E6158"/>
        </w:rPr>
        <w:t>Prevailed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bench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</w:rPr>
        <w:t>concerning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trust</w:t>
      </w:r>
      <w:r>
        <w:rPr>
          <w:color w:val="6E6158"/>
          <w:spacing w:val="12"/>
        </w:rPr>
        <w:t> </w:t>
      </w:r>
      <w:r>
        <w:rPr>
          <w:color w:val="6E6158"/>
        </w:rPr>
        <w:t>dispute.</w:t>
      </w:r>
      <w:r>
        <w:rPr>
          <w:color w:val="6E6158"/>
          <w:spacing w:val="13"/>
        </w:rPr>
        <w:t> </w:t>
      </w:r>
      <w:r>
        <w:rPr>
          <w:color w:val="6E6158"/>
        </w:rPr>
        <w:t>PB2012-051133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82"/>
        <w:ind w:right="1030"/>
      </w:pPr>
      <w:r>
        <w:rPr>
          <w:color w:val="6E6158"/>
        </w:rPr>
        <w:t>Prevailed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jury</w:t>
      </w:r>
      <w:r>
        <w:rPr>
          <w:color w:val="6E6158"/>
          <w:spacing w:val="15"/>
        </w:rPr>
        <w:t> </w:t>
      </w:r>
      <w:r>
        <w:rPr>
          <w:color w:val="6E6158"/>
        </w:rPr>
        <w:t>trial</w:t>
      </w:r>
      <w:r>
        <w:rPr>
          <w:color w:val="6E6158"/>
          <w:spacing w:val="15"/>
        </w:rPr>
        <w:t> </w:t>
      </w:r>
      <w:r>
        <w:rPr>
          <w:color w:val="6E6158"/>
        </w:rPr>
        <w:t>concerning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breach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contract.</w:t>
      </w:r>
      <w:r>
        <w:rPr>
          <w:color w:val="6E6158"/>
          <w:spacing w:val="15"/>
        </w:rPr>
        <w:t> </w:t>
      </w:r>
      <w:r>
        <w:rPr>
          <w:color w:val="6E6158"/>
        </w:rPr>
        <w:t>CV2014-052598 2015</w:t>
      </w:r>
    </w:p>
    <w:p>
      <w:pPr>
        <w:pStyle w:val="BodyText"/>
        <w:spacing w:line="292" w:lineRule="auto"/>
        <w:ind w:right="689"/>
      </w:pPr>
      <w:r>
        <w:rPr>
          <w:color w:val="6E6158"/>
        </w:rPr>
        <w:t>Successfully</w:t>
      </w:r>
      <w:r>
        <w:rPr>
          <w:color w:val="6E6158"/>
          <w:spacing w:val="18"/>
        </w:rPr>
        <w:t> </w:t>
      </w:r>
      <w:r>
        <w:rPr>
          <w:color w:val="6E6158"/>
        </w:rPr>
        <w:t>defended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client</w:t>
      </w:r>
      <w:r>
        <w:rPr>
          <w:color w:val="6E6158"/>
          <w:spacing w:val="18"/>
        </w:rPr>
        <w:t> </w:t>
      </w:r>
      <w:r>
        <w:rPr>
          <w:color w:val="6E6158"/>
        </w:rPr>
        <w:t>from</w:t>
      </w:r>
      <w:r>
        <w:rPr>
          <w:color w:val="6E6158"/>
          <w:spacing w:val="18"/>
        </w:rPr>
        <w:t> </w:t>
      </w:r>
      <w:r>
        <w:rPr>
          <w:color w:val="6E6158"/>
        </w:rPr>
        <w:t>multimillion-dollar</w:t>
      </w:r>
      <w:r>
        <w:rPr>
          <w:color w:val="6E6158"/>
          <w:spacing w:val="18"/>
        </w:rPr>
        <w:t> </w:t>
      </w:r>
      <w:r>
        <w:rPr>
          <w:color w:val="6E6158"/>
        </w:rPr>
        <w:t>claims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a</w:t>
      </w:r>
      <w:r>
        <w:rPr>
          <w:color w:val="6E6158"/>
          <w:spacing w:val="18"/>
        </w:rPr>
        <w:t> </w:t>
      </w:r>
      <w:r>
        <w:rPr>
          <w:color w:val="6E6158"/>
        </w:rPr>
        <w:t>partnership</w:t>
      </w:r>
      <w:r>
        <w:rPr>
          <w:color w:val="6E6158"/>
          <w:spacing w:val="18"/>
        </w:rPr>
        <w:t> </w:t>
      </w:r>
      <w:r>
        <w:rPr>
          <w:color w:val="6E6158"/>
        </w:rPr>
        <w:t>dispute.</w:t>
      </w:r>
      <w:r>
        <w:rPr>
          <w:color w:val="6E6158"/>
          <w:spacing w:val="18"/>
        </w:rPr>
        <w:t> </w:t>
      </w:r>
      <w:r>
        <w:rPr>
          <w:color w:val="6E6158"/>
        </w:rPr>
        <w:t>76-122-</w:t>
      </w:r>
      <w:r>
        <w:rPr>
          <w:color w:val="6E6158"/>
        </w:rPr>
        <w:t>Y-000037-13 2016</w:t>
      </w:r>
    </w:p>
    <w:p>
      <w:pPr>
        <w:pStyle w:val="BodyText"/>
        <w:spacing w:line="292" w:lineRule="auto" w:before="132"/>
        <w:ind w:right="1206"/>
      </w:pPr>
      <w:r>
        <w:rPr>
          <w:color w:val="6E6158"/>
        </w:rPr>
        <w:t>Prevailed in a jury trial concerning claims asserted in the context of a partnership dispute.</w:t>
      </w:r>
      <w:r>
        <w:rPr>
          <w:color w:val="6E6158"/>
          <w:spacing w:val="40"/>
        </w:rPr>
        <w:t> </w:t>
      </w:r>
      <w:r>
        <w:rPr>
          <w:color w:val="6E6158"/>
        </w:rPr>
        <w:t>CV2013-002402 2018</w:t>
      </w:r>
    </w:p>
    <w:p>
      <w:pPr>
        <w:pStyle w:val="BodyText"/>
      </w:pPr>
      <w:r>
        <w:rPr>
          <w:color w:val="6E6158"/>
        </w:rPr>
        <w:t>Prevailed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two</w:t>
      </w:r>
      <w:r>
        <w:rPr>
          <w:color w:val="6E6158"/>
          <w:spacing w:val="15"/>
        </w:rPr>
        <w:t> </w:t>
      </w:r>
      <w:r>
        <w:rPr>
          <w:color w:val="6E6158"/>
        </w:rPr>
        <w:t>successive</w:t>
      </w:r>
      <w:r>
        <w:rPr>
          <w:color w:val="6E6158"/>
          <w:spacing w:val="16"/>
        </w:rPr>
        <w:t> </w:t>
      </w:r>
      <w:r>
        <w:rPr>
          <w:color w:val="6E6158"/>
        </w:rPr>
        <w:t>bench</w:t>
      </w:r>
      <w:r>
        <w:rPr>
          <w:color w:val="6E6158"/>
          <w:spacing w:val="15"/>
        </w:rPr>
        <w:t> </w:t>
      </w:r>
      <w:r>
        <w:rPr>
          <w:color w:val="6E6158"/>
        </w:rPr>
        <w:t>trials</w:t>
      </w:r>
      <w:r>
        <w:rPr>
          <w:color w:val="6E6158"/>
          <w:spacing w:val="15"/>
        </w:rPr>
        <w:t> </w:t>
      </w:r>
      <w:r>
        <w:rPr>
          <w:color w:val="6E6158"/>
        </w:rPr>
        <w:t>concerning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partnership</w:t>
      </w:r>
      <w:r>
        <w:rPr>
          <w:color w:val="6E6158"/>
          <w:spacing w:val="15"/>
        </w:rPr>
        <w:t> </w:t>
      </w:r>
      <w:r>
        <w:rPr>
          <w:color w:val="6E6158"/>
        </w:rPr>
        <w:t>dispute.</w:t>
      </w:r>
      <w:r>
        <w:rPr>
          <w:color w:val="6E6158"/>
          <w:spacing w:val="15"/>
        </w:rPr>
        <w:t> </w:t>
      </w:r>
      <w:r>
        <w:rPr>
          <w:color w:val="6E6158"/>
        </w:rPr>
        <w:t>CV2019-054728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</w:rPr>
        <w:t>Lawyers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America®: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2024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Executive</w:t>
      </w:r>
      <w:r>
        <w:rPr>
          <w:color w:val="6E6158"/>
          <w:spacing w:val="13"/>
        </w:rPr>
        <w:t> </w:t>
      </w:r>
      <w:r>
        <w:rPr>
          <w:color w:val="6E6158"/>
        </w:rPr>
        <w:t>Council,</w:t>
      </w:r>
      <w:r>
        <w:rPr>
          <w:color w:val="6E6158"/>
          <w:spacing w:val="13"/>
        </w:rPr>
        <w:t> </w:t>
      </w:r>
      <w:r>
        <w:rPr>
          <w:color w:val="6E6158"/>
        </w:rPr>
        <w:t>Religious</w:t>
      </w:r>
      <w:r>
        <w:rPr>
          <w:color w:val="6E6158"/>
          <w:spacing w:val="13"/>
        </w:rPr>
        <w:t> </w:t>
      </w:r>
      <w:r>
        <w:rPr>
          <w:color w:val="6E6158"/>
        </w:rPr>
        <w:t>Liberty</w:t>
      </w:r>
      <w:r>
        <w:rPr>
          <w:color w:val="6E6158"/>
          <w:spacing w:val="13"/>
        </w:rPr>
        <w:t> </w:t>
      </w:r>
      <w:r>
        <w:rPr>
          <w:color w:val="6E6158"/>
        </w:rPr>
        <w:t>Section,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Bar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before="0"/>
      </w:pP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Fourth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Heading2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  <w:spacing w:val="-2"/>
        </w:rPr>
        <w:t>German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mkitch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Kitchen Jr. - Fennemore</dc:title>
  <dcterms:created xsi:type="dcterms:W3CDTF">2026-06-12T09:39:36Z</dcterms:created>
  <dcterms:modified xsi:type="dcterms:W3CDTF">2026-06-12T09:39:36Z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