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Hatling Mike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589" w:right="591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MICHAEL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T. HATTING</w:t>
                              </w:r>
                            </w:p>
                            <w:p>
                              <w:pPr>
                                <w:spacing w:before="48"/>
                                <w:ind w:left="589" w:right="59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589" w:right="59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89" w:right="59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589" w:right="591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651.383.2997</w:t>
                              </w:r>
                            </w:p>
                            <w:p>
                              <w:pPr>
                                <w:spacing w:before="119"/>
                                <w:ind w:left="589" w:right="59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mhatting@fennemorelaw.com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Hatling Mike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589" w:right="591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MICHAEL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T. HATTING</w:t>
                        </w:r>
                      </w:p>
                      <w:p>
                        <w:pPr>
                          <w:spacing w:before="48"/>
                          <w:ind w:left="589" w:right="59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589" w:right="59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89" w:right="59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589" w:right="591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651.383.2997</w:t>
                        </w:r>
                      </w:p>
                      <w:p>
                        <w:pPr>
                          <w:spacing w:before="119"/>
                          <w:ind w:left="589" w:right="59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mhatting@fennemorelaw.com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MICHAEL</w:t>
      </w:r>
      <w:r>
        <w:rPr>
          <w:color w:val="FF8100"/>
          <w:spacing w:val="7"/>
        </w:rPr>
        <w:t> </w:t>
      </w:r>
      <w:r>
        <w:rPr>
          <w:color w:val="FF8100"/>
        </w:rPr>
        <w:t>T.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HATTING</w:t>
      </w:r>
    </w:p>
    <w:p>
      <w:pPr>
        <w:pStyle w:val="BodyText"/>
        <w:spacing w:line="295" w:lineRule="auto" w:before="147"/>
        <w:ind w:right="502"/>
      </w:pPr>
      <w:r>
        <w:rPr>
          <w:color w:val="6E6158"/>
        </w:rPr>
        <w:t>Michael T. Hatting is a results-oriented real estate attorney who represents real estate developers,</w:t>
      </w:r>
      <w:r>
        <w:rPr>
          <w:color w:val="6E6158"/>
          <w:spacing w:val="40"/>
        </w:rPr>
        <w:t> </w:t>
      </w:r>
      <w:r>
        <w:rPr>
          <w:color w:val="6E6158"/>
        </w:rPr>
        <w:t>lenders, owners, and investors in the acquisition, sale, development, financing, and leasing of</w:t>
      </w:r>
      <w:r>
        <w:rPr>
          <w:color w:val="6E6158"/>
          <w:spacing w:val="40"/>
        </w:rPr>
        <w:t> </w:t>
      </w:r>
      <w:r>
        <w:rPr>
          <w:color w:val="6E6158"/>
        </w:rPr>
        <w:t>commercial and residential real estate projects. He works closely with clients to understand their</w:t>
      </w:r>
      <w:r>
        <w:rPr>
          <w:color w:val="6E6158"/>
          <w:spacing w:val="40"/>
        </w:rPr>
        <w:t> </w:t>
      </w:r>
      <w:r>
        <w:rPr>
          <w:color w:val="6E6158"/>
        </w:rPr>
        <w:t>business objectives and tailor practical legal solutions that support those goals.</w:t>
      </w:r>
    </w:p>
    <w:p>
      <w:pPr>
        <w:pStyle w:val="BodyText"/>
        <w:spacing w:line="295" w:lineRule="auto" w:before="197"/>
        <w:ind w:right="714"/>
      </w:pPr>
      <w:r>
        <w:rPr>
          <w:color w:val="6E6158"/>
        </w:rPr>
        <w:t>With experience spanning virtually every phase of a project, Mike regularly advises on</w:t>
      </w:r>
      <w:r>
        <w:rPr>
          <w:color w:val="6E6158"/>
          <w:spacing w:val="80"/>
        </w:rPr>
        <w:t> </w:t>
      </w:r>
      <w:r>
        <w:rPr>
          <w:color w:val="6E6158"/>
        </w:rPr>
        <w:t>commercial real estate acquisitions and dispositions, project development, tax credit </w:t>
      </w:r>
      <w:r>
        <w:rPr>
          <w:color w:val="6E6158"/>
        </w:rPr>
        <w:t>financing,</w:t>
      </w:r>
      <w:r>
        <w:rPr>
          <w:color w:val="6E6158"/>
          <w:spacing w:val="40"/>
        </w:rPr>
        <w:t> </w:t>
      </w:r>
      <w:r>
        <w:rPr>
          <w:color w:val="6E6158"/>
        </w:rPr>
        <w:t>joint venture financing, the formation of real estate investment funds, property management,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leasing.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provides</w:t>
      </w:r>
      <w:r>
        <w:rPr>
          <w:color w:val="6E6158"/>
          <w:spacing w:val="29"/>
        </w:rPr>
        <w:t> </w:t>
      </w:r>
      <w:r>
        <w:rPr>
          <w:color w:val="6E6158"/>
        </w:rPr>
        <w:t>corporate</w:t>
      </w:r>
      <w:r>
        <w:rPr>
          <w:color w:val="6E6158"/>
          <w:spacing w:val="29"/>
        </w:rPr>
        <w:t> </w:t>
      </w:r>
      <w:r>
        <w:rPr>
          <w:color w:val="6E6158"/>
        </w:rPr>
        <w:t>clients</w:t>
      </w:r>
      <w:r>
        <w:rPr>
          <w:color w:val="6E6158"/>
          <w:spacing w:val="29"/>
        </w:rPr>
        <w:t> </w:t>
      </w:r>
      <w:r>
        <w:rPr>
          <w:color w:val="6E6158"/>
        </w:rPr>
        <w:t>with</w:t>
      </w:r>
      <w:r>
        <w:rPr>
          <w:color w:val="6E6158"/>
          <w:spacing w:val="29"/>
        </w:rPr>
        <w:t> </w:t>
      </w:r>
      <w:r>
        <w:rPr>
          <w:color w:val="6E6158"/>
        </w:rPr>
        <w:t>business</w:t>
      </w:r>
      <w:r>
        <w:rPr>
          <w:color w:val="6E6158"/>
          <w:spacing w:val="29"/>
        </w:rPr>
        <w:t> </w:t>
      </w:r>
      <w:r>
        <w:rPr>
          <w:color w:val="6E6158"/>
        </w:rPr>
        <w:t>law</w:t>
      </w:r>
      <w:r>
        <w:rPr>
          <w:color w:val="6E6158"/>
          <w:spacing w:val="29"/>
        </w:rPr>
        <w:t> </w:t>
      </w:r>
      <w:r>
        <w:rPr>
          <w:color w:val="6E6158"/>
        </w:rPr>
        <w:t>counsel</w:t>
      </w:r>
      <w:r>
        <w:rPr>
          <w:color w:val="6E6158"/>
          <w:spacing w:val="29"/>
        </w:rPr>
        <w:t> </w:t>
      </w:r>
      <w:r>
        <w:rPr>
          <w:color w:val="6E6158"/>
        </w:rPr>
        <w:t>related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entity</w:t>
      </w:r>
    </w:p>
    <w:p>
      <w:pPr>
        <w:pStyle w:val="BodyText"/>
        <w:spacing w:before="1"/>
      </w:pPr>
      <w:r>
        <w:rPr>
          <w:color w:val="6E6158"/>
        </w:rPr>
        <w:t>formation,</w:t>
      </w:r>
      <w:r>
        <w:rPr>
          <w:color w:val="6E6158"/>
          <w:spacing w:val="16"/>
        </w:rPr>
        <w:t> </w:t>
      </w:r>
      <w:r>
        <w:rPr>
          <w:color w:val="6E6158"/>
        </w:rPr>
        <w:t>structure,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governance.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502"/>
      </w:pPr>
      <w:r>
        <w:rPr>
          <w:color w:val="6E6158"/>
        </w:rPr>
        <w:t>Mike has a strong focus on projects involving public and private incentives, including tax credits</w:t>
      </w:r>
      <w:r>
        <w:rPr>
          <w:color w:val="6E6158"/>
          <w:spacing w:val="40"/>
        </w:rPr>
        <w:t> </w:t>
      </w:r>
      <w:r>
        <w:rPr>
          <w:color w:val="6E6158"/>
        </w:rPr>
        <w:t>and tax increment financing. He has extensive experience identifying and securing state and</w:t>
      </w:r>
      <w:r>
        <w:rPr>
          <w:color w:val="6E6158"/>
          <w:spacing w:val="40"/>
        </w:rPr>
        <w:t> </w:t>
      </w:r>
      <w:r>
        <w:rPr>
          <w:color w:val="6E6158"/>
        </w:rPr>
        <w:t>federal Historic Rehabilitation Tax Credits to preserve and redevelop historic properties, and he</w:t>
      </w:r>
      <w:r>
        <w:rPr>
          <w:color w:val="6E6158"/>
          <w:spacing w:val="40"/>
        </w:rPr>
        <w:t> </w:t>
      </w:r>
      <w:r>
        <w:rPr>
          <w:color w:val="6E6158"/>
        </w:rPr>
        <w:t>represents</w:t>
      </w:r>
      <w:r>
        <w:rPr>
          <w:color w:val="6E6158"/>
          <w:spacing w:val="33"/>
        </w:rPr>
        <w:t> </w:t>
      </w:r>
      <w:r>
        <w:rPr>
          <w:color w:val="6E6158"/>
        </w:rPr>
        <w:t>developers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lenders</w:t>
      </w:r>
      <w:r>
        <w:rPr>
          <w:color w:val="6E6158"/>
          <w:spacing w:val="33"/>
        </w:rPr>
        <w:t> </w:t>
      </w:r>
      <w:r>
        <w:rPr>
          <w:color w:val="6E6158"/>
        </w:rPr>
        <w:t>utilizing</w:t>
      </w:r>
      <w:r>
        <w:rPr>
          <w:color w:val="6E6158"/>
          <w:spacing w:val="33"/>
        </w:rPr>
        <w:t> </w:t>
      </w:r>
      <w:r>
        <w:rPr>
          <w:color w:val="6E6158"/>
        </w:rPr>
        <w:t>New</w:t>
      </w:r>
      <w:r>
        <w:rPr>
          <w:color w:val="6E6158"/>
          <w:spacing w:val="33"/>
        </w:rPr>
        <w:t> </w:t>
      </w:r>
      <w:r>
        <w:rPr>
          <w:color w:val="6E6158"/>
        </w:rPr>
        <w:t>Markets</w:t>
      </w:r>
      <w:r>
        <w:rPr>
          <w:color w:val="6E6158"/>
          <w:spacing w:val="33"/>
        </w:rPr>
        <w:t> </w:t>
      </w:r>
      <w:r>
        <w:rPr>
          <w:color w:val="6E6158"/>
        </w:rPr>
        <w:t>Tax</w:t>
      </w:r>
      <w:r>
        <w:rPr>
          <w:color w:val="6E6158"/>
          <w:spacing w:val="33"/>
        </w:rPr>
        <w:t> </w:t>
      </w:r>
      <w:r>
        <w:rPr>
          <w:color w:val="6E6158"/>
        </w:rPr>
        <w:t>Credits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renewable</w:t>
      </w:r>
      <w:r>
        <w:rPr>
          <w:color w:val="6E6158"/>
          <w:spacing w:val="33"/>
        </w:rPr>
        <w:t> </w:t>
      </w:r>
      <w:r>
        <w:rPr>
          <w:color w:val="6E6158"/>
        </w:rPr>
        <w:t>energy</w:t>
      </w:r>
    </w:p>
    <w:p>
      <w:pPr>
        <w:pStyle w:val="BodyText"/>
        <w:spacing w:before="11"/>
      </w:pPr>
      <w:r>
        <w:rPr>
          <w:color w:val="6E6158"/>
        </w:rPr>
        <w:t>Investment</w:t>
      </w:r>
      <w:r>
        <w:rPr>
          <w:color w:val="6E6158"/>
          <w:spacing w:val="8"/>
        </w:rPr>
        <w:t> </w:t>
      </w:r>
      <w:r>
        <w:rPr>
          <w:color w:val="6E6158"/>
        </w:rPr>
        <w:t>Tax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Credits.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/>
        <w:ind w:right="502"/>
      </w:pPr>
      <w:r>
        <w:rPr>
          <w:color w:val="6E6158"/>
        </w:rPr>
        <w:t>His experience includes serving as developer’s counsel for multiple mixed-use and multifamily</w:t>
      </w:r>
      <w:r>
        <w:rPr>
          <w:color w:val="6E6158"/>
          <w:spacing w:val="40"/>
        </w:rPr>
        <w:t> </w:t>
      </w:r>
      <w:r>
        <w:rPr>
          <w:color w:val="6E6158"/>
        </w:rPr>
        <w:t>developments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Minneapolis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St.</w:t>
      </w:r>
      <w:r>
        <w:rPr>
          <w:color w:val="6E6158"/>
          <w:spacing w:val="16"/>
        </w:rPr>
        <w:t> </w:t>
      </w:r>
      <w:r>
        <w:rPr>
          <w:color w:val="6E6158"/>
        </w:rPr>
        <w:t>Paul.</w:t>
      </w:r>
      <w:r>
        <w:rPr>
          <w:color w:val="6E6158"/>
          <w:spacing w:val="16"/>
        </w:rPr>
        <w:t> </w:t>
      </w:r>
      <w:r>
        <w:rPr>
          <w:color w:val="6E6158"/>
        </w:rPr>
        <w:t>He</w:t>
      </w:r>
      <w:r>
        <w:rPr>
          <w:color w:val="6E6158"/>
          <w:spacing w:val="16"/>
        </w:rPr>
        <w:t> </w:t>
      </w:r>
      <w:r>
        <w:rPr>
          <w:color w:val="6E6158"/>
        </w:rPr>
        <w:t>has</w:t>
      </w:r>
      <w:r>
        <w:rPr>
          <w:color w:val="6E6158"/>
          <w:spacing w:val="16"/>
        </w:rPr>
        <w:t> </w:t>
      </w:r>
      <w:r>
        <w:rPr>
          <w:color w:val="6E6158"/>
        </w:rPr>
        <w:t>represented</w:t>
      </w:r>
      <w:r>
        <w:rPr>
          <w:color w:val="6E6158"/>
          <w:spacing w:val="16"/>
        </w:rPr>
        <w:t> </w:t>
      </w:r>
      <w:r>
        <w:rPr>
          <w:color w:val="6E6158"/>
        </w:rPr>
        <w:t>a</w:t>
      </w:r>
      <w:r>
        <w:rPr>
          <w:color w:val="6E6158"/>
          <w:spacing w:val="16"/>
        </w:rPr>
        <w:t> </w:t>
      </w:r>
      <w:r>
        <w:rPr>
          <w:color w:val="6E6158"/>
        </w:rPr>
        <w:t>rapidly</w:t>
      </w:r>
      <w:r>
        <w:rPr>
          <w:color w:val="6E6158"/>
          <w:spacing w:val="16"/>
        </w:rPr>
        <w:t> </w:t>
      </w:r>
      <w:r>
        <w:rPr>
          <w:color w:val="6E6158"/>
        </w:rPr>
        <w:t>expanding</w:t>
      </w:r>
      <w:r>
        <w:rPr>
          <w:color w:val="6E6158"/>
          <w:spacing w:val="16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self-storage</w:t>
      </w:r>
      <w:r>
        <w:rPr>
          <w:color w:val="6E6158"/>
          <w:spacing w:val="34"/>
        </w:rPr>
        <w:t> </w:t>
      </w:r>
      <w:r>
        <w:rPr>
          <w:color w:val="6E6158"/>
        </w:rPr>
        <w:t>company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acquisitions,</w:t>
      </w:r>
      <w:r>
        <w:rPr>
          <w:color w:val="6E6158"/>
          <w:spacing w:val="34"/>
        </w:rPr>
        <w:t> </w:t>
      </w:r>
      <w:r>
        <w:rPr>
          <w:color w:val="6E6158"/>
        </w:rPr>
        <w:t>financing,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development</w:t>
      </w:r>
      <w:r>
        <w:rPr>
          <w:color w:val="6E6158"/>
          <w:spacing w:val="34"/>
        </w:rPr>
        <w:t> </w:t>
      </w:r>
      <w:r>
        <w:rPr>
          <w:color w:val="6E6158"/>
        </w:rPr>
        <w:t>matters.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lender’s</w:t>
      </w:r>
      <w:r>
        <w:rPr>
          <w:color w:val="6E6158"/>
          <w:spacing w:val="34"/>
        </w:rPr>
        <w:t> </w:t>
      </w:r>
      <w:r>
        <w:rPr>
          <w:color w:val="6E6158"/>
        </w:rPr>
        <w:t>counsel,</w:t>
      </w:r>
      <w:r>
        <w:rPr>
          <w:color w:val="6E6158"/>
          <w:spacing w:val="34"/>
        </w:rPr>
        <w:t> </w:t>
      </w:r>
      <w:r>
        <w:rPr>
          <w:color w:val="6E6158"/>
        </w:rPr>
        <w:t>he has closed acquisition and construction loans secured by a wide range of property types,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39"/>
        </w:rPr>
        <w:t> </w:t>
      </w:r>
      <w:r>
        <w:rPr>
          <w:color w:val="6E6158"/>
        </w:rPr>
        <w:t>health</w:t>
      </w:r>
      <w:r>
        <w:rPr>
          <w:color w:val="6E6158"/>
          <w:spacing w:val="39"/>
        </w:rPr>
        <w:t> </w:t>
      </w:r>
      <w:r>
        <w:rPr>
          <w:color w:val="6E6158"/>
        </w:rPr>
        <w:t>care</w:t>
      </w:r>
      <w:r>
        <w:rPr>
          <w:color w:val="6E6158"/>
          <w:spacing w:val="39"/>
        </w:rPr>
        <w:t> </w:t>
      </w:r>
      <w:r>
        <w:rPr>
          <w:color w:val="6E6158"/>
        </w:rPr>
        <w:t>facilities,</w:t>
      </w:r>
      <w:r>
        <w:rPr>
          <w:color w:val="6E6158"/>
          <w:spacing w:val="39"/>
        </w:rPr>
        <w:t> </w:t>
      </w:r>
      <w:r>
        <w:rPr>
          <w:color w:val="6E6158"/>
        </w:rPr>
        <w:t>senior</w:t>
      </w:r>
      <w:r>
        <w:rPr>
          <w:color w:val="6E6158"/>
          <w:spacing w:val="39"/>
        </w:rPr>
        <w:t> </w:t>
      </w:r>
      <w:r>
        <w:rPr>
          <w:color w:val="6E6158"/>
        </w:rPr>
        <w:t>living</w:t>
      </w:r>
      <w:r>
        <w:rPr>
          <w:color w:val="6E6158"/>
          <w:spacing w:val="39"/>
        </w:rPr>
        <w:t> </w:t>
      </w:r>
      <w:r>
        <w:rPr>
          <w:color w:val="6E6158"/>
        </w:rPr>
        <w:t>communities,</w:t>
      </w:r>
      <w:r>
        <w:rPr>
          <w:color w:val="6E6158"/>
          <w:spacing w:val="39"/>
        </w:rPr>
        <w:t> </w:t>
      </w:r>
      <w:r>
        <w:rPr>
          <w:color w:val="6E6158"/>
        </w:rPr>
        <w:t>speculative</w:t>
      </w:r>
      <w:r>
        <w:rPr>
          <w:color w:val="6E6158"/>
          <w:spacing w:val="39"/>
        </w:rPr>
        <w:t> </w:t>
      </w:r>
      <w:r>
        <w:rPr>
          <w:color w:val="6E6158"/>
        </w:rPr>
        <w:t>industrial</w:t>
      </w:r>
      <w:r>
        <w:rPr>
          <w:color w:val="6E6158"/>
          <w:spacing w:val="39"/>
        </w:rPr>
        <w:t> </w:t>
      </w:r>
      <w:r>
        <w:rPr>
          <w:color w:val="6E6158"/>
        </w:rPr>
        <w:t>projects,</w:t>
      </w:r>
      <w:r>
        <w:rPr>
          <w:color w:val="6E6158"/>
          <w:spacing w:val="39"/>
        </w:rPr>
        <w:t> </w:t>
      </w:r>
      <w:r>
        <w:rPr>
          <w:color w:val="6E6158"/>
        </w:rPr>
        <w:t>hotels, and hospitality properties.</w:t>
      </w:r>
    </w:p>
    <w:p>
      <w:pPr>
        <w:pStyle w:val="Heading1"/>
        <w:spacing w:before="167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Iowa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7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distinction</w:t>
      </w:r>
    </w:p>
    <w:p>
      <w:pPr>
        <w:spacing w:before="161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B.A.,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Macalester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College,</w:t>
      </w:r>
      <w:r>
        <w:rPr>
          <w:color w:val="6E6158"/>
          <w:spacing w:val="9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6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61"/>
        <w:ind w:left="0"/>
        <w:rPr>
          <w:i/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Developer’s</w:t>
      </w:r>
      <w:r>
        <w:rPr>
          <w:color w:val="6E6158"/>
          <w:spacing w:val="15"/>
        </w:rPr>
        <w:t> </w:t>
      </w:r>
      <w:r>
        <w:rPr>
          <w:color w:val="6E6158"/>
        </w:rPr>
        <w:t>counsel</w:t>
      </w:r>
      <w:r>
        <w:rPr>
          <w:color w:val="6E6158"/>
          <w:spacing w:val="16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multiple</w:t>
      </w:r>
      <w:r>
        <w:rPr>
          <w:color w:val="6E6158"/>
          <w:spacing w:val="16"/>
        </w:rPr>
        <w:t> </w:t>
      </w:r>
      <w:r>
        <w:rPr>
          <w:color w:val="6E6158"/>
        </w:rPr>
        <w:t>mixed-use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multifamily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developments.</w:t>
      </w:r>
    </w:p>
    <w:p>
      <w:pPr>
        <w:pStyle w:val="BodyText"/>
        <w:spacing w:line="292" w:lineRule="auto" w:before="182"/>
        <w:ind w:right="714"/>
      </w:pPr>
      <w:r>
        <w:rPr>
          <w:color w:val="6E6158"/>
        </w:rPr>
        <w:t>Lender’s counsel for real estate loans in multiple states for national, regional and </w:t>
      </w:r>
      <w:r>
        <w:rPr>
          <w:color w:val="6E6158"/>
        </w:rPr>
        <w:t>community</w:t>
      </w:r>
      <w:r>
        <w:rPr>
          <w:color w:val="6E6158"/>
          <w:spacing w:val="40"/>
        </w:rPr>
        <w:t> </w:t>
      </w:r>
      <w:r>
        <w:rPr>
          <w:color w:val="6E6158"/>
        </w:rPr>
        <w:t>bank lenders.</w:t>
      </w:r>
    </w:p>
    <w:p>
      <w:pPr>
        <w:pStyle w:val="BodyText"/>
        <w:spacing w:before="123"/>
      </w:pPr>
      <w:r>
        <w:rPr>
          <w:color w:val="6E6158"/>
        </w:rPr>
        <w:t>Acquisition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disposition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multi-property</w:t>
      </w:r>
      <w:r>
        <w:rPr>
          <w:color w:val="6E6158"/>
          <w:spacing w:val="16"/>
        </w:rPr>
        <w:t> </w:t>
      </w:r>
      <w:r>
        <w:rPr>
          <w:color w:val="6E6158"/>
        </w:rPr>
        <w:t>self-storage</w:t>
      </w:r>
      <w:r>
        <w:rPr>
          <w:color w:val="6E6158"/>
          <w:spacing w:val="16"/>
        </w:rPr>
        <w:t> </w:t>
      </w:r>
      <w:r>
        <w:rPr>
          <w:color w:val="6E6158"/>
        </w:rPr>
        <w:t>portfolios</w:t>
      </w:r>
      <w:r>
        <w:rPr>
          <w:color w:val="6E6158"/>
          <w:spacing w:val="16"/>
        </w:rPr>
        <w:t> </w:t>
      </w:r>
      <w:r>
        <w:rPr>
          <w:color w:val="6E6158"/>
        </w:rPr>
        <w:t>throughout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United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States.</w:t>
      </w:r>
    </w:p>
    <w:p>
      <w:pPr>
        <w:pStyle w:val="BodyText"/>
        <w:spacing w:line="297" w:lineRule="auto" w:before="174"/>
        <w:ind w:right="714"/>
      </w:pPr>
      <w:r>
        <w:rPr>
          <w:color w:val="6E6158"/>
        </w:rPr>
        <w:t>Represents national loan placement agent in documenting and closing participated loans</w:t>
      </w:r>
      <w:r>
        <w:rPr>
          <w:color w:val="6E6158"/>
          <w:spacing w:val="40"/>
        </w:rPr>
        <w:t> </w:t>
      </w:r>
      <w:r>
        <w:rPr>
          <w:color w:val="6E6158"/>
        </w:rPr>
        <w:t>secured by multiple product types, including senior living facilities, hotel projects, casino </w:t>
      </w:r>
      <w:r>
        <w:rPr>
          <w:color w:val="6E6158"/>
        </w:rPr>
        <w:t>gaming</w:t>
      </w:r>
      <w:r>
        <w:rPr>
          <w:color w:val="6E6158"/>
          <w:spacing w:val="40"/>
        </w:rPr>
        <w:t> </w:t>
      </w:r>
      <w:r>
        <w:rPr>
          <w:color w:val="6E6158"/>
        </w:rPr>
        <w:t>equipment, and others.</w:t>
      </w:r>
    </w:p>
    <w:p>
      <w:pPr>
        <w:pStyle w:val="BodyText"/>
        <w:spacing w:line="292" w:lineRule="auto" w:before="118"/>
        <w:ind w:right="714"/>
      </w:pPr>
      <w:r>
        <w:rPr>
          <w:color w:val="6E6158"/>
        </w:rPr>
        <w:t>Numerous transactions representing landlords of leases with national retailers, large office,</w:t>
      </w:r>
      <w:r>
        <w:rPr>
          <w:color w:val="6E6158"/>
          <w:spacing w:val="40"/>
        </w:rPr>
        <w:t> </w:t>
      </w:r>
      <w:r>
        <w:rPr>
          <w:color w:val="6E6158"/>
        </w:rPr>
        <w:t>medical office clinic tenants, office and industrial properties.</w:t>
      </w:r>
    </w:p>
    <w:p>
      <w:pPr>
        <w:pStyle w:val="BodyText"/>
        <w:spacing w:before="132"/>
      </w:pPr>
      <w:r>
        <w:rPr>
          <w:color w:val="6E6158"/>
        </w:rPr>
        <w:t>Formation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structuring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real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investment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development</w:t>
      </w:r>
      <w:r>
        <w:rPr>
          <w:color w:val="6E6158"/>
          <w:spacing w:val="14"/>
        </w:rPr>
        <w:t> </w:t>
      </w:r>
      <w:r>
        <w:rPr>
          <w:color w:val="6E6158"/>
        </w:rPr>
        <w:t>joint</w:t>
      </w:r>
      <w:r>
        <w:rPr>
          <w:color w:val="6E6158"/>
          <w:spacing w:val="14"/>
        </w:rPr>
        <w:t> </w:t>
      </w:r>
      <w:r>
        <w:rPr>
          <w:color w:val="6E6158"/>
        </w:rPr>
        <w:t>venture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funds.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4006"/>
      </w:pPr>
      <w:r>
        <w:rPr>
          <w:color w:val="6E6158"/>
        </w:rPr>
        <w:t>The Best Lawyers in America®, Real Estate Law, </w:t>
      </w:r>
      <w:r>
        <w:rPr>
          <w:color w:val="6E6158"/>
        </w:rPr>
        <w:t>2024/2026 Top Lawyers in Minnesota, Minnesota Monthly, 2024</w:t>
      </w:r>
    </w:p>
    <w:p>
      <w:pPr>
        <w:pStyle w:val="BodyText"/>
        <w:spacing w:before="7"/>
      </w:pPr>
      <w:r>
        <w:rPr>
          <w:color w:val="6E6158"/>
        </w:rPr>
        <w:t>North</w:t>
      </w:r>
      <w:r>
        <w:rPr>
          <w:color w:val="6E6158"/>
          <w:spacing w:val="10"/>
        </w:rPr>
        <w:t> </w:t>
      </w:r>
      <w:r>
        <w:rPr>
          <w:color w:val="6E6158"/>
        </w:rPr>
        <w:t>Star</w:t>
      </w:r>
      <w:r>
        <w:rPr>
          <w:color w:val="6E6158"/>
          <w:spacing w:val="11"/>
        </w:rPr>
        <w:t> </w:t>
      </w:r>
      <w:r>
        <w:rPr>
          <w:color w:val="6E6158"/>
        </w:rPr>
        <w:t>Lawyer,</w:t>
      </w:r>
      <w:r>
        <w:rPr>
          <w:color w:val="6E6158"/>
          <w:spacing w:val="10"/>
        </w:rPr>
        <w:t> </w:t>
      </w:r>
      <w:r>
        <w:rPr>
          <w:color w:val="6E6158"/>
        </w:rPr>
        <w:t>Minnesota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</w:rPr>
        <w:t>Association,</w:t>
      </w:r>
      <w:r>
        <w:rPr>
          <w:color w:val="6E6158"/>
          <w:spacing w:val="10"/>
        </w:rPr>
        <w:t> </w:t>
      </w:r>
      <w:r>
        <w:rPr>
          <w:color w:val="6E6158"/>
        </w:rPr>
        <w:t>2021,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846"/>
      </w:pPr>
      <w:r>
        <w:rPr>
          <w:color w:val="6E6158"/>
        </w:rPr>
        <w:t>Presenter, “Use of Surveys in Real Estate Development,” Minnesota CLE, November </w:t>
      </w:r>
      <w:r>
        <w:rPr>
          <w:color w:val="6E6158"/>
        </w:rPr>
        <w:t>2025 Panelist, Minnesota Real Estate Institute, 2018</w:t>
      </w:r>
    </w:p>
    <w:p>
      <w:pPr>
        <w:pStyle w:val="BodyText"/>
        <w:spacing w:line="292" w:lineRule="auto" w:before="7"/>
        <w:ind w:right="714"/>
      </w:pPr>
      <w:r>
        <w:rPr>
          <w:color w:val="6E6158"/>
        </w:rPr>
        <w:t>Moderator and Panelist, “Custom House Mixed Use Condominium,” Minnesota Real </w:t>
      </w:r>
      <w:r>
        <w:rPr>
          <w:color w:val="6E6158"/>
        </w:rPr>
        <w:t>Estate</w:t>
      </w:r>
      <w:r>
        <w:rPr>
          <w:color w:val="6E6158"/>
          <w:spacing w:val="40"/>
        </w:rPr>
        <w:t> </w:t>
      </w:r>
      <w:r>
        <w:rPr>
          <w:color w:val="6E6158"/>
        </w:rPr>
        <w:t>Institute, 2015</w:t>
      </w:r>
    </w:p>
    <w:p>
      <w:pPr>
        <w:pStyle w:val="BodyText"/>
        <w:spacing w:line="420" w:lineRule="auto" w:before="123"/>
        <w:ind w:right="846"/>
      </w:pPr>
      <w:r>
        <w:rPr>
          <w:color w:val="6E6158"/>
        </w:rPr>
        <w:t>Presenter, “Basics of Commercial Loan Documentation,” National Business Institute, </w:t>
      </w:r>
      <w:r>
        <w:rPr>
          <w:color w:val="6E6158"/>
        </w:rPr>
        <w:t>2015 Panelist, “Tax Credits,” Minnesota Real Estate Journal Conference, 2014</w:t>
      </w:r>
    </w:p>
    <w:p>
      <w:pPr>
        <w:pStyle w:val="BodyText"/>
        <w:spacing w:line="420" w:lineRule="auto" w:before="7"/>
        <w:ind w:right="846"/>
      </w:pPr>
      <w:r>
        <w:rPr>
          <w:color w:val="6E6158"/>
        </w:rPr>
        <w:t>Panelist, “Brownfields Redevelopment,” Minnesota Real Estate Journal Conference, </w:t>
      </w:r>
      <w:r>
        <w:rPr>
          <w:color w:val="6E6158"/>
        </w:rPr>
        <w:t>2013</w:t>
      </w:r>
      <w:r>
        <w:rPr>
          <w:color w:val="6E6158"/>
          <w:spacing w:val="40"/>
        </w:rPr>
        <w:t> </w:t>
      </w:r>
      <w:r>
        <w:rPr>
          <w:color w:val="6E6158"/>
        </w:rPr>
        <w:t>Panelist, “CLE on Easements in Minnesota,” Lorman, 2012</w:t>
      </w:r>
    </w:p>
    <w:p>
      <w:pPr>
        <w:pStyle w:val="BodyText"/>
        <w:spacing w:line="231" w:lineRule="exact"/>
      </w:pP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Agency</w:t>
      </w:r>
      <w:r>
        <w:rPr>
          <w:color w:val="6E6158"/>
          <w:spacing w:val="13"/>
        </w:rPr>
        <w:t> </w:t>
      </w:r>
      <w:r>
        <w:rPr>
          <w:color w:val="6E6158"/>
        </w:rPr>
        <w:t>Law,”</w:t>
      </w:r>
      <w:r>
        <w:rPr>
          <w:color w:val="6E6158"/>
          <w:spacing w:val="12"/>
        </w:rPr>
        <w:t> </w:t>
      </w:r>
      <w:r>
        <w:rPr>
          <w:color w:val="6E6158"/>
        </w:rPr>
        <w:t>Minnesota</w:t>
      </w:r>
      <w:r>
        <w:rPr>
          <w:color w:val="6E6158"/>
          <w:spacing w:val="13"/>
        </w:rPr>
        <w:t> </w:t>
      </w:r>
      <w:r>
        <w:rPr>
          <w:color w:val="6E6158"/>
        </w:rPr>
        <w:t>Council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3"/>
        </w:rPr>
        <w:t> </w:t>
      </w:r>
      <w:r>
        <w:rPr>
          <w:color w:val="6E6158"/>
        </w:rPr>
        <w:t>Rural</w:t>
      </w:r>
      <w:r>
        <w:rPr>
          <w:color w:val="6E6158"/>
          <w:spacing w:val="12"/>
        </w:rPr>
        <w:t> </w:t>
      </w:r>
      <w:r>
        <w:rPr>
          <w:color w:val="6E6158"/>
        </w:rPr>
        <w:t>Housing</w:t>
      </w:r>
      <w:r>
        <w:rPr>
          <w:color w:val="6E6158"/>
          <w:spacing w:val="13"/>
        </w:rPr>
        <w:t> </w:t>
      </w:r>
      <w:r>
        <w:rPr>
          <w:color w:val="6E6158"/>
        </w:rPr>
        <w:t>Conference,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2010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302" w:lineRule="auto"/>
        <w:ind w:right="502"/>
      </w:pPr>
      <w:r>
        <w:rPr>
          <w:color w:val="6E6158"/>
        </w:rPr>
        <w:t>Pro bono counsel for multiple nonprofit agencies advocating for homelessness and affordable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housing</w:t>
      </w:r>
    </w:p>
    <w:p>
      <w:pPr>
        <w:pStyle w:val="BodyText"/>
        <w:spacing w:before="10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0" w:lineRule="auto"/>
        <w:ind w:right="8026"/>
      </w:pPr>
      <w:r>
        <w:rPr>
          <w:color w:val="6E6158"/>
          <w:spacing w:val="-2"/>
        </w:rPr>
        <w:t>Minnesota Arizona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>
          <w:color w:val="6E6158"/>
          <w:spacing w:val="-4"/>
        </w:rPr>
        <w:t>Iowa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mhatting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T. Hatting - Fennemore</dc:title>
  <dcterms:created xsi:type="dcterms:W3CDTF">2026-06-12T09:32:03Z</dcterms:created>
  <dcterms:modified xsi:type="dcterms:W3CDTF">2026-06-12T09:32:03Z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