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25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738755"/>
                <wp:effectExtent l="0" t="0" r="0" b="4444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738755"/>
                          <a:chExt cx="6071870" cy="273875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6071591" cy="2469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268700"/>
                            <a:ext cx="6071870" cy="2470150"/>
                          </a:xfrm>
                          <a:prstGeom prst="rect">
                            <a:avLst/>
                          </a:prstGeom>
                          <a:solidFill>
                            <a:srgbClr val="262424">
                              <a:alpha val="81959"/>
                            </a:srgbClr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color w:val="000000"/>
                                  <w:sz w:val="42"/>
                                </w:rPr>
                              </w:pPr>
                            </w:p>
                            <w:p>
                              <w:pPr>
                                <w:spacing w:line="240" w:lineRule="auto" w:before="133"/>
                                <w:rPr>
                                  <w:rFonts w:ascii="Times New Roman"/>
                                  <w:color w:val="000000"/>
                                  <w:sz w:val="4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696" w:right="696" w:firstLine="0"/>
                                <w:jc w:val="center"/>
                                <w:rPr>
                                  <w:b/>
                                  <w:color w:val="000000"/>
                                  <w:sz w:val="4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42"/>
                                </w:rPr>
                                <w:t>Mining Law and Public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42"/>
                                </w:rPr>
                                <w:t>Lands</w:t>
                              </w:r>
                            </w:p>
                            <w:p>
                              <w:pPr>
                                <w:spacing w:line="240" w:lineRule="auto" w:before="91"/>
                                <w:rPr>
                                  <w:b/>
                                  <w:color w:val="000000"/>
                                  <w:sz w:val="42"/>
                                </w:rPr>
                              </w:pPr>
                            </w:p>
                            <w:p>
                              <w:pPr>
                                <w:spacing w:line="247" w:lineRule="auto" w:before="0"/>
                                <w:ind w:left="696" w:right="694" w:firstLine="0"/>
                                <w:jc w:val="center"/>
                                <w:rPr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We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have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more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than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140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years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experience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representing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clients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in minerals development.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15.65pt;mso-position-horizontal-relative:char;mso-position-vertical-relative:line" id="docshapegroup1" coordorigin="0,0" coordsize="9562,4313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9562;height:3890" type="#_x0000_t75" id="docshape3" stroked="false">
                  <v:imagedata r:id="rId7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423;width:9562;height:3890" type="#_x0000_t202" id="docshape4" filled="true" fillcolor="#262424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Times New Roman"/>
                            <w:color w:val="000000"/>
                            <w:sz w:val="42"/>
                          </w:rPr>
                        </w:pPr>
                      </w:p>
                      <w:p>
                        <w:pPr>
                          <w:spacing w:line="240" w:lineRule="auto" w:before="133"/>
                          <w:rPr>
                            <w:rFonts w:ascii="Times New Roman"/>
                            <w:color w:val="000000"/>
                            <w:sz w:val="42"/>
                          </w:rPr>
                        </w:pPr>
                      </w:p>
                      <w:p>
                        <w:pPr>
                          <w:spacing w:before="0"/>
                          <w:ind w:left="696" w:right="696" w:firstLine="0"/>
                          <w:jc w:val="center"/>
                          <w:rPr>
                            <w:b/>
                            <w:color w:val="000000"/>
                            <w:sz w:val="42"/>
                          </w:rPr>
                        </w:pPr>
                        <w:r>
                          <w:rPr>
                            <w:b/>
                            <w:color w:val="FFFFFF"/>
                            <w:sz w:val="42"/>
                          </w:rPr>
                          <w:t>Mining Law and Public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42"/>
                          </w:rPr>
                          <w:t>Lands</w:t>
                        </w:r>
                      </w:p>
                      <w:p>
                        <w:pPr>
                          <w:spacing w:line="240" w:lineRule="auto" w:before="91"/>
                          <w:rPr>
                            <w:b/>
                            <w:color w:val="000000"/>
                            <w:sz w:val="42"/>
                          </w:rPr>
                        </w:pPr>
                      </w:p>
                      <w:p>
                        <w:pPr>
                          <w:spacing w:line="247" w:lineRule="auto" w:before="0"/>
                          <w:ind w:left="696" w:right="694" w:firstLine="0"/>
                          <w:jc w:val="center"/>
                          <w:rPr>
                            <w:color w:val="000000"/>
                            <w:sz w:val="22"/>
                          </w:rPr>
                        </w:pP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We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have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more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than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140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years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of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experience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representing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clients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in minerals development.</w:t>
                        </w:r>
                      </w:p>
                    </w:txbxContent>
                  </v:textbox>
                  <v:fill opacity="53713f" type="solid"/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2"/>
      </w:pPr>
      <w:r>
        <w:rPr>
          <w:color w:val="002E6B"/>
          <w:spacing w:val="-2"/>
        </w:rPr>
        <w:t>LEADERSHIP</w:t>
      </w:r>
    </w:p>
    <w:p>
      <w:pPr>
        <w:pStyle w:val="BodyText"/>
        <w:spacing w:before="37"/>
        <w:ind w:left="0"/>
        <w:rPr>
          <w:b/>
          <w:sz w:val="20"/>
        </w:rPr>
      </w:pPr>
    </w:p>
    <w:p>
      <w:pPr>
        <w:spacing w:before="1"/>
        <w:ind w:left="5856" w:right="0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2791396</wp:posOffset>
            </wp:positionH>
            <wp:positionV relativeFrom="paragraph">
              <wp:posOffset>-21243</wp:posOffset>
            </wp:positionV>
            <wp:extent cx="1395174" cy="1395174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174" cy="1395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">
        <w:r>
          <w:rPr>
            <w:sz w:val="16"/>
          </w:rPr>
          <w:t>MINING</w:t>
        </w:r>
        <w:r>
          <w:rPr>
            <w:spacing w:val="5"/>
            <w:sz w:val="16"/>
          </w:rPr>
          <w:t> </w:t>
        </w:r>
        <w:r>
          <w:rPr>
            <w:spacing w:val="-5"/>
            <w:sz w:val="16"/>
          </w:rPr>
          <w:t>LAW</w:t>
        </w:r>
      </w:hyperlink>
    </w:p>
    <w:p>
      <w:pPr>
        <w:pStyle w:val="BodyText"/>
        <w:spacing w:before="45"/>
        <w:ind w:left="0"/>
        <w:rPr>
          <w:sz w:val="16"/>
        </w:rPr>
      </w:pPr>
    </w:p>
    <w:p>
      <w:pPr>
        <w:spacing w:line="218" w:lineRule="auto" w:before="0"/>
        <w:ind w:left="5856" w:right="2743" w:firstLine="0"/>
        <w:jc w:val="left"/>
        <w:rPr>
          <w:sz w:val="16"/>
        </w:rPr>
      </w:pPr>
      <w:hyperlink r:id="rId10">
        <w:r>
          <w:rPr>
            <w:sz w:val="16"/>
          </w:rPr>
          <w:t>BUSINESS</w:t>
        </w:r>
        <w:r>
          <w:rPr>
            <w:spacing w:val="-12"/>
            <w:sz w:val="16"/>
          </w:rPr>
          <w:t> </w:t>
        </w:r>
        <w:r>
          <w:rPr>
            <w:sz w:val="16"/>
          </w:rPr>
          <w:t>&amp;</w:t>
        </w:r>
      </w:hyperlink>
      <w:r>
        <w:rPr>
          <w:sz w:val="16"/>
        </w:rPr>
        <w:t> </w:t>
      </w:r>
      <w:hyperlink r:id="rId10">
        <w:r>
          <w:rPr>
            <w:spacing w:val="-2"/>
            <w:sz w:val="16"/>
          </w:rPr>
          <w:t>FINANCE</w:t>
        </w:r>
      </w:hyperlink>
    </w:p>
    <w:p>
      <w:pPr>
        <w:pStyle w:val="BodyText"/>
        <w:spacing w:before="26"/>
        <w:ind w:left="0"/>
        <w:rPr>
          <w:sz w:val="16"/>
        </w:rPr>
      </w:pPr>
    </w:p>
    <w:p>
      <w:pPr>
        <w:spacing w:line="191" w:lineRule="exact" w:before="0"/>
        <w:ind w:left="5856" w:right="0" w:firstLine="0"/>
        <w:jc w:val="left"/>
        <w:rPr>
          <w:b/>
          <w:sz w:val="16"/>
        </w:rPr>
      </w:pPr>
      <w:hyperlink r:id="rId11">
        <w:r>
          <w:rPr>
            <w:b/>
            <w:sz w:val="16"/>
          </w:rPr>
          <w:t>Sarah</w:t>
        </w:r>
        <w:r>
          <w:rPr>
            <w:b/>
            <w:spacing w:val="3"/>
            <w:sz w:val="16"/>
          </w:rPr>
          <w:t> </w:t>
        </w:r>
        <w:r>
          <w:rPr>
            <w:b/>
            <w:sz w:val="16"/>
          </w:rPr>
          <w:t>A.</w:t>
        </w:r>
        <w:r>
          <w:rPr>
            <w:b/>
            <w:spacing w:val="3"/>
            <w:sz w:val="16"/>
          </w:rPr>
          <w:t> </w:t>
        </w:r>
        <w:r>
          <w:rPr>
            <w:b/>
            <w:spacing w:val="-2"/>
            <w:sz w:val="16"/>
          </w:rPr>
          <w:t>Strunk</w:t>
        </w:r>
      </w:hyperlink>
    </w:p>
    <w:p>
      <w:pPr>
        <w:spacing w:line="142" w:lineRule="exact" w:before="0"/>
        <w:ind w:left="5856" w:right="0" w:firstLine="0"/>
        <w:jc w:val="left"/>
        <w:rPr>
          <w:sz w:val="12"/>
        </w:rPr>
      </w:pPr>
      <w:r>
        <w:rPr>
          <w:color w:val="6E6158"/>
          <w:spacing w:val="-2"/>
          <w:sz w:val="12"/>
        </w:rPr>
        <w:t>Director</w:t>
      </w:r>
    </w:p>
    <w:p>
      <w:pPr>
        <w:spacing w:before="73"/>
        <w:ind w:left="5856" w:right="0" w:firstLine="0"/>
        <w:jc w:val="left"/>
        <w:rPr>
          <w:b/>
          <w:sz w:val="12"/>
        </w:rPr>
      </w:pPr>
      <w:hyperlink r:id="rId12">
        <w:r>
          <w:rPr>
            <w:b/>
            <w:sz w:val="12"/>
          </w:rPr>
          <w:t>San</w:t>
        </w:r>
        <w:r>
          <w:rPr>
            <w:b/>
            <w:spacing w:val="2"/>
            <w:sz w:val="12"/>
          </w:rPr>
          <w:t> </w:t>
        </w:r>
        <w:r>
          <w:rPr>
            <w:b/>
            <w:spacing w:val="-2"/>
            <w:sz w:val="12"/>
          </w:rPr>
          <w:t>Diego</w:t>
        </w:r>
      </w:hyperlink>
    </w:p>
    <w:p>
      <w:pPr>
        <w:spacing w:before="15"/>
        <w:ind w:left="5856" w:right="0" w:firstLine="0"/>
        <w:jc w:val="left"/>
        <w:rPr>
          <w:sz w:val="12"/>
        </w:rPr>
      </w:pPr>
      <w:r>
        <w:rPr>
          <w:color w:val="6E6158"/>
          <w:sz w:val="12"/>
        </w:rPr>
        <w:t>PH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602.916.5327</w:t>
      </w:r>
    </w:p>
    <w:p>
      <w:pPr>
        <w:spacing w:before="8"/>
        <w:ind w:left="5856" w:right="0" w:firstLine="0"/>
        <w:jc w:val="left"/>
        <w:rPr>
          <w:sz w:val="12"/>
        </w:rPr>
      </w:pPr>
      <w:r>
        <w:rPr>
          <w:color w:val="6E6158"/>
          <w:sz w:val="12"/>
        </w:rPr>
        <w:t>FX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619.231.4372</w:t>
      </w:r>
    </w:p>
    <w:p>
      <w:pPr>
        <w:spacing w:line="266" w:lineRule="auto" w:before="16"/>
        <w:ind w:left="5856" w:right="2743" w:firstLine="0"/>
        <w:jc w:val="left"/>
        <w:rPr>
          <w:sz w:val="12"/>
        </w:rPr>
      </w:pPr>
      <w:hyperlink r:id="rId13">
        <w:r>
          <w:rPr>
            <w:color w:val="002E6B"/>
            <w:spacing w:val="-2"/>
            <w:sz w:val="12"/>
            <w:u w:val="single" w:color="002E6B"/>
          </w:rPr>
          <w:t>sstrunk@fennemorela</w:t>
        </w:r>
      </w:hyperlink>
      <w:r>
        <w:rPr>
          <w:color w:val="002E6B"/>
          <w:spacing w:val="40"/>
          <w:sz w:val="12"/>
          <w:u w:val="none"/>
        </w:rPr>
        <w:t> </w:t>
      </w:r>
      <w:hyperlink r:id="rId13">
        <w:r>
          <w:rPr>
            <w:color w:val="002E6B"/>
            <w:spacing w:val="-2"/>
            <w:sz w:val="12"/>
            <w:u w:val="single" w:color="002E6B"/>
          </w:rPr>
          <w:t>w.com</w:t>
        </w:r>
      </w:hyperlink>
    </w:p>
    <w:p>
      <w:pPr>
        <w:pStyle w:val="BodyText"/>
        <w:spacing w:before="259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WHAT</w:t>
      </w:r>
      <w:r>
        <w:rPr>
          <w:color w:val="FF8100"/>
          <w:spacing w:val="6"/>
        </w:rPr>
        <w:t> </w:t>
      </w:r>
      <w:r>
        <w:rPr>
          <w:color w:val="FF8100"/>
        </w:rPr>
        <w:t>WE</w:t>
      </w:r>
      <w:r>
        <w:rPr>
          <w:color w:val="FF8100"/>
          <w:spacing w:val="5"/>
        </w:rPr>
        <w:t> </w:t>
      </w:r>
      <w:r>
        <w:rPr>
          <w:color w:val="FF8100"/>
          <w:spacing w:val="-5"/>
        </w:rPr>
        <w:t>DO</w:t>
      </w:r>
    </w:p>
    <w:p>
      <w:pPr>
        <w:pStyle w:val="BodyText"/>
        <w:spacing w:line="295" w:lineRule="auto" w:before="147"/>
        <w:ind w:right="488"/>
        <w:jc w:val="both"/>
      </w:pPr>
      <w:r>
        <w:rPr>
          <w:color w:val="6E6158"/>
        </w:rPr>
        <w:t>We have more than 140 years of experience representing clients in mineral industry. This includes</w:t>
      </w:r>
      <w:r>
        <w:rPr>
          <w:color w:val="6E6158"/>
          <w:spacing w:val="80"/>
        </w:rPr>
        <w:t> </w:t>
      </w:r>
      <w:r>
        <w:rPr>
          <w:color w:val="6E6158"/>
        </w:rPr>
        <w:t>all facets of exploration, development and operation. Our mining law attorneys advise clients </w:t>
      </w:r>
      <w:r>
        <w:rPr>
          <w:color w:val="6E6158"/>
        </w:rPr>
        <w:t>on due diligence, mineral title examinations, mining claim locations, maintenance and disputes. We can</w:t>
      </w:r>
      <w:r>
        <w:rPr>
          <w:color w:val="6E6158"/>
          <w:spacing w:val="34"/>
        </w:rPr>
        <w:t> </w:t>
      </w:r>
      <w:r>
        <w:rPr>
          <w:color w:val="6E6158"/>
        </w:rPr>
        <w:t>assist</w:t>
      </w:r>
      <w:r>
        <w:rPr>
          <w:color w:val="6E6158"/>
          <w:spacing w:val="34"/>
        </w:rPr>
        <w:t> </w:t>
      </w:r>
      <w:r>
        <w:rPr>
          <w:color w:val="6E6158"/>
        </w:rPr>
        <w:t>with</w:t>
      </w:r>
      <w:r>
        <w:rPr>
          <w:color w:val="6E6158"/>
          <w:spacing w:val="34"/>
        </w:rPr>
        <w:t> </w:t>
      </w:r>
      <w:r>
        <w:rPr>
          <w:color w:val="6E6158"/>
        </w:rPr>
        <w:t>drafting</w:t>
      </w:r>
      <w:r>
        <w:rPr>
          <w:color w:val="6E6158"/>
          <w:spacing w:val="34"/>
        </w:rPr>
        <w:t> </w:t>
      </w:r>
      <w:r>
        <w:rPr>
          <w:color w:val="6E6158"/>
        </w:rPr>
        <w:t>exploration</w:t>
      </w:r>
      <w:r>
        <w:rPr>
          <w:color w:val="6E6158"/>
          <w:spacing w:val="34"/>
        </w:rPr>
        <w:t> </w:t>
      </w:r>
      <w:r>
        <w:rPr>
          <w:color w:val="6E6158"/>
        </w:rPr>
        <w:t>agreements,</w:t>
      </w:r>
      <w:r>
        <w:rPr>
          <w:color w:val="6E6158"/>
          <w:spacing w:val="34"/>
        </w:rPr>
        <w:t> </w:t>
      </w:r>
      <w:r>
        <w:rPr>
          <w:color w:val="6E6158"/>
        </w:rPr>
        <w:t>including</w:t>
      </w:r>
      <w:r>
        <w:rPr>
          <w:color w:val="6E6158"/>
          <w:spacing w:val="34"/>
        </w:rPr>
        <w:t> </w:t>
      </w:r>
      <w:r>
        <w:rPr>
          <w:color w:val="6E6158"/>
        </w:rPr>
        <w:t>joint</w:t>
      </w:r>
      <w:r>
        <w:rPr>
          <w:color w:val="6E6158"/>
          <w:spacing w:val="34"/>
        </w:rPr>
        <w:t> </w:t>
      </w:r>
      <w:r>
        <w:rPr>
          <w:color w:val="6E6158"/>
        </w:rPr>
        <w:t>ventures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farm</w:t>
      </w:r>
      <w:r>
        <w:rPr>
          <w:color w:val="6E6158"/>
          <w:spacing w:val="34"/>
        </w:rPr>
        <w:t> </w:t>
      </w:r>
      <w:r>
        <w:rPr>
          <w:color w:val="6E6158"/>
        </w:rPr>
        <w:t>in/out</w:t>
      </w:r>
    </w:p>
    <w:p>
      <w:pPr>
        <w:pStyle w:val="BodyText"/>
        <w:spacing w:line="295" w:lineRule="auto" w:before="1"/>
        <w:ind w:right="601"/>
      </w:pPr>
      <w:r>
        <w:rPr>
          <w:color w:val="6E6158"/>
        </w:rPr>
        <w:t>agreements; purchase and sale agreements of mining properties; contract operating and</w:t>
      </w:r>
      <w:r>
        <w:rPr>
          <w:color w:val="6E6158"/>
          <w:spacing w:val="40"/>
        </w:rPr>
        <w:t> </w:t>
      </w:r>
      <w:r>
        <w:rPr>
          <w:color w:val="6E6158"/>
        </w:rPr>
        <w:t>production agreements; marketing and tolling agreements of base and precious metals; as </w:t>
      </w:r>
      <w:r>
        <w:rPr>
          <w:color w:val="6E6158"/>
        </w:rPr>
        <w:t>well</w:t>
      </w:r>
      <w:r>
        <w:rPr>
          <w:color w:val="6E6158"/>
          <w:spacing w:val="40"/>
        </w:rPr>
        <w:t> </w:t>
      </w:r>
      <w:r>
        <w:rPr>
          <w:color w:val="6E6158"/>
        </w:rPr>
        <w:t>as derivative transactions, including exchange-traded and off-exchange transactions as well as</w:t>
      </w:r>
      <w:r>
        <w:rPr>
          <w:color w:val="6E6158"/>
          <w:spacing w:val="40"/>
        </w:rPr>
        <w:t> </w:t>
      </w:r>
      <w:r>
        <w:rPr>
          <w:color w:val="6E6158"/>
        </w:rPr>
        <w:t>finance arrangements.</w:t>
      </w:r>
    </w:p>
    <w:p>
      <w:pPr>
        <w:pStyle w:val="BodyText"/>
        <w:spacing w:line="292" w:lineRule="auto" w:before="204"/>
        <w:ind w:right="331"/>
      </w:pPr>
      <w:r>
        <w:rPr>
          <w:color w:val="6E6158"/>
        </w:rPr>
        <w:t>We have helped our clients permit exploration campaigns, greenfield mining projects and mine</w:t>
      </w:r>
      <w:r>
        <w:rPr>
          <w:color w:val="6E6158"/>
          <w:spacing w:val="40"/>
        </w:rPr>
        <w:t> </w:t>
      </w:r>
      <w:r>
        <w:rPr>
          <w:color w:val="6E6158"/>
        </w:rPr>
        <w:t>expansions</w:t>
      </w:r>
      <w:r>
        <w:rPr>
          <w:color w:val="6E6158"/>
          <w:spacing w:val="24"/>
        </w:rPr>
        <w:t> </w:t>
      </w:r>
      <w:r>
        <w:rPr>
          <w:color w:val="6E6158"/>
        </w:rPr>
        <w:t>on</w:t>
      </w:r>
      <w:r>
        <w:rPr>
          <w:color w:val="6E6158"/>
          <w:spacing w:val="24"/>
        </w:rPr>
        <w:t> </w:t>
      </w:r>
      <w:r>
        <w:rPr>
          <w:color w:val="6E6158"/>
        </w:rPr>
        <w:t>state</w:t>
      </w:r>
      <w:r>
        <w:rPr>
          <w:color w:val="6E6158"/>
          <w:spacing w:val="24"/>
        </w:rPr>
        <w:t> </w:t>
      </w:r>
      <w:r>
        <w:rPr>
          <w:color w:val="6E6158"/>
        </w:rPr>
        <w:t>and</w:t>
      </w:r>
      <w:r>
        <w:rPr>
          <w:color w:val="6E6158"/>
          <w:spacing w:val="24"/>
        </w:rPr>
        <w:t> </w:t>
      </w:r>
      <w:r>
        <w:rPr>
          <w:color w:val="6E6158"/>
        </w:rPr>
        <w:t>federal</w:t>
      </w:r>
      <w:r>
        <w:rPr>
          <w:color w:val="6E6158"/>
          <w:spacing w:val="24"/>
        </w:rPr>
        <w:t> </w:t>
      </w:r>
      <w:r>
        <w:rPr>
          <w:color w:val="6E6158"/>
        </w:rPr>
        <w:t>land.</w:t>
      </w:r>
      <w:r>
        <w:rPr>
          <w:color w:val="6E6158"/>
          <w:spacing w:val="24"/>
        </w:rPr>
        <w:t> </w:t>
      </w:r>
      <w:r>
        <w:rPr>
          <w:color w:val="6E6158"/>
        </w:rPr>
        <w:t>Then</w:t>
      </w:r>
      <w:r>
        <w:rPr>
          <w:color w:val="6E6158"/>
          <w:spacing w:val="24"/>
        </w:rPr>
        <w:t> </w:t>
      </w:r>
      <w:r>
        <w:rPr>
          <w:color w:val="6E6158"/>
        </w:rPr>
        <w:t>we</w:t>
      </w:r>
      <w:r>
        <w:rPr>
          <w:color w:val="6E6158"/>
          <w:spacing w:val="24"/>
        </w:rPr>
        <w:t> </w:t>
      </w:r>
      <w:r>
        <w:rPr>
          <w:color w:val="6E6158"/>
        </w:rPr>
        <w:t>help</w:t>
      </w:r>
      <w:r>
        <w:rPr>
          <w:color w:val="6E6158"/>
          <w:spacing w:val="24"/>
        </w:rPr>
        <w:t> </w:t>
      </w:r>
      <w:r>
        <w:rPr>
          <w:color w:val="6E6158"/>
        </w:rPr>
        <w:t>defend</w:t>
      </w:r>
      <w:r>
        <w:rPr>
          <w:color w:val="6E6158"/>
          <w:spacing w:val="24"/>
        </w:rPr>
        <w:t> </w:t>
      </w:r>
      <w:r>
        <w:rPr>
          <w:color w:val="6E6158"/>
        </w:rPr>
        <w:t>those</w:t>
      </w:r>
      <w:r>
        <w:rPr>
          <w:color w:val="6E6158"/>
          <w:spacing w:val="24"/>
        </w:rPr>
        <w:t> </w:t>
      </w:r>
      <w:r>
        <w:rPr>
          <w:color w:val="6E6158"/>
        </w:rPr>
        <w:t>permits</w:t>
      </w:r>
      <w:r>
        <w:rPr>
          <w:color w:val="6E6158"/>
          <w:spacing w:val="24"/>
        </w:rPr>
        <w:t> </w:t>
      </w:r>
      <w:r>
        <w:rPr>
          <w:color w:val="6E6158"/>
        </w:rPr>
        <w:t>in</w:t>
      </w:r>
      <w:r>
        <w:rPr>
          <w:color w:val="6E6158"/>
          <w:spacing w:val="24"/>
        </w:rPr>
        <w:t> </w:t>
      </w:r>
      <w:r>
        <w:rPr>
          <w:color w:val="6E6158"/>
        </w:rPr>
        <w:t>suits</w:t>
      </w:r>
      <w:r>
        <w:rPr>
          <w:color w:val="6E6158"/>
          <w:spacing w:val="24"/>
        </w:rPr>
        <w:t> </w:t>
      </w:r>
      <w:r>
        <w:rPr>
          <w:color w:val="6E6158"/>
        </w:rPr>
        <w:t>filed</w:t>
      </w:r>
      <w:r>
        <w:rPr>
          <w:color w:val="6E6158"/>
          <w:spacing w:val="24"/>
        </w:rPr>
        <w:t> </w:t>
      </w:r>
      <w:r>
        <w:rPr>
          <w:color w:val="6E6158"/>
        </w:rPr>
        <w:t>in</w:t>
      </w:r>
      <w:r>
        <w:rPr>
          <w:color w:val="6E6158"/>
          <w:spacing w:val="24"/>
        </w:rPr>
        <w:t> </w:t>
      </w:r>
      <w:r>
        <w:rPr>
          <w:color w:val="6E6158"/>
        </w:rPr>
        <w:t>state and</w:t>
      </w:r>
      <w:r>
        <w:rPr>
          <w:color w:val="6E6158"/>
          <w:spacing w:val="36"/>
        </w:rPr>
        <w:t> </w:t>
      </w:r>
      <w:r>
        <w:rPr>
          <w:color w:val="6E6158"/>
        </w:rPr>
        <w:t>federal</w:t>
      </w:r>
      <w:r>
        <w:rPr>
          <w:color w:val="6E6158"/>
          <w:spacing w:val="36"/>
        </w:rPr>
        <w:t> </w:t>
      </w:r>
      <w:r>
        <w:rPr>
          <w:color w:val="6E6158"/>
        </w:rPr>
        <w:t>court</w:t>
      </w:r>
      <w:r>
        <w:rPr>
          <w:color w:val="6E6158"/>
          <w:spacing w:val="36"/>
        </w:rPr>
        <w:t> </w:t>
      </w:r>
      <w:r>
        <w:rPr>
          <w:color w:val="6E6158"/>
        </w:rPr>
        <w:t>against</w:t>
      </w:r>
      <w:r>
        <w:rPr>
          <w:color w:val="6E6158"/>
          <w:spacing w:val="36"/>
        </w:rPr>
        <w:t> </w:t>
      </w:r>
      <w:r>
        <w:rPr>
          <w:color w:val="6E6158"/>
        </w:rPr>
        <w:t>the</w:t>
      </w:r>
      <w:r>
        <w:rPr>
          <w:color w:val="6E6158"/>
          <w:spacing w:val="36"/>
        </w:rPr>
        <w:t> </w:t>
      </w:r>
      <w:r>
        <w:rPr>
          <w:color w:val="6E6158"/>
        </w:rPr>
        <w:t>authorizing</w:t>
      </w:r>
      <w:r>
        <w:rPr>
          <w:color w:val="6E6158"/>
          <w:spacing w:val="36"/>
        </w:rPr>
        <w:t> </w:t>
      </w:r>
      <w:r>
        <w:rPr>
          <w:color w:val="6E6158"/>
        </w:rPr>
        <w:t>land</w:t>
      </w:r>
      <w:r>
        <w:rPr>
          <w:color w:val="6E6158"/>
          <w:spacing w:val="36"/>
        </w:rPr>
        <w:t> </w:t>
      </w:r>
      <w:r>
        <w:rPr>
          <w:color w:val="6E6158"/>
        </w:rPr>
        <w:t>or</w:t>
      </w:r>
      <w:r>
        <w:rPr>
          <w:color w:val="6E6158"/>
          <w:spacing w:val="36"/>
        </w:rPr>
        <w:t> </w:t>
      </w:r>
      <w:r>
        <w:rPr>
          <w:color w:val="6E6158"/>
        </w:rPr>
        <w:t>program</w:t>
      </w:r>
      <w:r>
        <w:rPr>
          <w:color w:val="6E6158"/>
          <w:spacing w:val="36"/>
        </w:rPr>
        <w:t> </w:t>
      </w:r>
      <w:r>
        <w:rPr>
          <w:color w:val="6E6158"/>
        </w:rPr>
        <w:t>management</w:t>
      </w:r>
      <w:r>
        <w:rPr>
          <w:color w:val="6E6158"/>
          <w:spacing w:val="36"/>
        </w:rPr>
        <w:t> </w:t>
      </w:r>
      <w:r>
        <w:rPr>
          <w:color w:val="6E6158"/>
        </w:rPr>
        <w:t>agencies.</w:t>
      </w:r>
    </w:p>
    <w:p>
      <w:pPr>
        <w:pStyle w:val="BodyText"/>
        <w:spacing w:line="297" w:lineRule="auto" w:before="198"/>
        <w:ind w:right="337"/>
      </w:pPr>
      <w:r>
        <w:rPr>
          <w:color w:val="6E6158"/>
        </w:rPr>
        <w:t>Our work for clients encompasses projects related to mining laws and regulations throughout the</w:t>
      </w:r>
      <w:r>
        <w:rPr>
          <w:color w:val="6E6158"/>
          <w:spacing w:val="40"/>
        </w:rPr>
        <w:t> </w:t>
      </w:r>
      <w:r>
        <w:rPr>
          <w:color w:val="6E6158"/>
        </w:rPr>
        <w:t>United</w:t>
      </w:r>
      <w:r>
        <w:rPr>
          <w:color w:val="6E6158"/>
          <w:spacing w:val="30"/>
        </w:rPr>
        <w:t> </w:t>
      </w:r>
      <w:r>
        <w:rPr>
          <w:color w:val="6E6158"/>
        </w:rPr>
        <w:t>States,</w:t>
      </w:r>
      <w:r>
        <w:rPr>
          <w:color w:val="6E6158"/>
          <w:spacing w:val="30"/>
        </w:rPr>
        <w:t> </w:t>
      </w:r>
      <w:r>
        <w:rPr>
          <w:color w:val="6E6158"/>
        </w:rPr>
        <w:t>Mexico,</w:t>
      </w:r>
      <w:r>
        <w:rPr>
          <w:color w:val="6E6158"/>
          <w:spacing w:val="30"/>
        </w:rPr>
        <w:t> </w:t>
      </w:r>
      <w:r>
        <w:rPr>
          <w:color w:val="6E6158"/>
        </w:rPr>
        <w:t>Canada,</w:t>
      </w:r>
      <w:r>
        <w:rPr>
          <w:color w:val="6E6158"/>
          <w:spacing w:val="30"/>
        </w:rPr>
        <w:t> </w:t>
      </w:r>
      <w:r>
        <w:rPr>
          <w:color w:val="6E6158"/>
        </w:rPr>
        <w:t>South</w:t>
      </w:r>
      <w:r>
        <w:rPr>
          <w:color w:val="6E6158"/>
          <w:spacing w:val="30"/>
        </w:rPr>
        <w:t> </w:t>
      </w:r>
      <w:r>
        <w:rPr>
          <w:color w:val="6E6158"/>
        </w:rPr>
        <w:t>America,</w:t>
      </w:r>
      <w:r>
        <w:rPr>
          <w:color w:val="6E6158"/>
          <w:spacing w:val="30"/>
        </w:rPr>
        <w:t> </w:t>
      </w:r>
      <w:r>
        <w:rPr>
          <w:color w:val="6E6158"/>
        </w:rPr>
        <w:t>the</w:t>
      </w:r>
      <w:r>
        <w:rPr>
          <w:color w:val="6E6158"/>
          <w:spacing w:val="30"/>
        </w:rPr>
        <w:t> </w:t>
      </w:r>
      <w:r>
        <w:rPr>
          <w:color w:val="6E6158"/>
        </w:rPr>
        <w:t>Pacific</w:t>
      </w:r>
      <w:r>
        <w:rPr>
          <w:color w:val="6E6158"/>
          <w:spacing w:val="30"/>
        </w:rPr>
        <w:t> </w:t>
      </w:r>
      <w:r>
        <w:rPr>
          <w:color w:val="6E6158"/>
        </w:rPr>
        <w:t>Rim,</w:t>
      </w:r>
      <w:r>
        <w:rPr>
          <w:color w:val="6E6158"/>
          <w:spacing w:val="30"/>
        </w:rPr>
        <w:t> </w:t>
      </w:r>
      <w:r>
        <w:rPr>
          <w:color w:val="6E6158"/>
        </w:rPr>
        <w:t>the</w:t>
      </w:r>
      <w:r>
        <w:rPr>
          <w:color w:val="6E6158"/>
          <w:spacing w:val="30"/>
        </w:rPr>
        <w:t> </w:t>
      </w:r>
      <w:r>
        <w:rPr>
          <w:color w:val="6E6158"/>
        </w:rPr>
        <w:t>Republic</w:t>
      </w:r>
      <w:r>
        <w:rPr>
          <w:color w:val="6E6158"/>
          <w:spacing w:val="30"/>
        </w:rPr>
        <w:t> </w:t>
      </w:r>
      <w:r>
        <w:rPr>
          <w:color w:val="6E6158"/>
        </w:rPr>
        <w:t>of</w:t>
      </w:r>
      <w:r>
        <w:rPr>
          <w:color w:val="6E6158"/>
          <w:spacing w:val="30"/>
        </w:rPr>
        <w:t> </w:t>
      </w:r>
      <w:r>
        <w:rPr>
          <w:color w:val="6E6158"/>
        </w:rPr>
        <w:t>South</w:t>
      </w:r>
      <w:r>
        <w:rPr>
          <w:color w:val="6E6158"/>
          <w:spacing w:val="30"/>
        </w:rPr>
        <w:t> </w:t>
      </w:r>
      <w:r>
        <w:rPr>
          <w:color w:val="6E6158"/>
        </w:rPr>
        <w:t>Africa, and</w:t>
      </w:r>
      <w:r>
        <w:rPr>
          <w:color w:val="6E6158"/>
          <w:spacing w:val="23"/>
        </w:rPr>
        <w:t> </w:t>
      </w:r>
      <w:r>
        <w:rPr>
          <w:color w:val="6E6158"/>
        </w:rPr>
        <w:t>elsewhere</w:t>
      </w:r>
      <w:r>
        <w:rPr>
          <w:color w:val="6E6158"/>
          <w:spacing w:val="23"/>
        </w:rPr>
        <w:t> </w:t>
      </w:r>
      <w:r>
        <w:rPr>
          <w:color w:val="6E6158"/>
        </w:rPr>
        <w:t>around</w:t>
      </w:r>
      <w:r>
        <w:rPr>
          <w:color w:val="6E6158"/>
          <w:spacing w:val="23"/>
        </w:rPr>
        <w:t> </w:t>
      </w:r>
      <w:r>
        <w:rPr>
          <w:color w:val="6E6158"/>
        </w:rPr>
        <w:t>the</w:t>
      </w:r>
      <w:r>
        <w:rPr>
          <w:color w:val="6E6158"/>
          <w:spacing w:val="23"/>
        </w:rPr>
        <w:t> </w:t>
      </w:r>
      <w:r>
        <w:rPr>
          <w:color w:val="6E6158"/>
        </w:rPr>
        <w:t>world.</w:t>
      </w:r>
      <w:r>
        <w:rPr>
          <w:color w:val="6E6158"/>
          <w:spacing w:val="23"/>
        </w:rPr>
        <w:t> </w:t>
      </w:r>
      <w:r>
        <w:rPr>
          <w:color w:val="6E6158"/>
        </w:rPr>
        <w:t>Our</w:t>
      </w:r>
      <w:r>
        <w:rPr>
          <w:color w:val="6E6158"/>
          <w:spacing w:val="23"/>
        </w:rPr>
        <w:t> </w:t>
      </w:r>
      <w:r>
        <w:rPr>
          <w:color w:val="6E6158"/>
        </w:rPr>
        <w:t>mining</w:t>
      </w:r>
      <w:r>
        <w:rPr>
          <w:color w:val="6E6158"/>
          <w:spacing w:val="23"/>
        </w:rPr>
        <w:t> </w:t>
      </w:r>
      <w:r>
        <w:rPr>
          <w:color w:val="6E6158"/>
        </w:rPr>
        <w:t>lawyers</w:t>
      </w:r>
      <w:r>
        <w:rPr>
          <w:color w:val="6E6158"/>
          <w:spacing w:val="23"/>
        </w:rPr>
        <w:t> </w:t>
      </w:r>
      <w:r>
        <w:rPr>
          <w:color w:val="6E6158"/>
        </w:rPr>
        <w:t>work</w:t>
      </w:r>
      <w:r>
        <w:rPr>
          <w:color w:val="6E6158"/>
          <w:spacing w:val="23"/>
        </w:rPr>
        <w:t> </w:t>
      </w:r>
      <w:r>
        <w:rPr>
          <w:color w:val="6E6158"/>
        </w:rPr>
        <w:t>closely</w:t>
      </w:r>
      <w:r>
        <w:rPr>
          <w:color w:val="6E6158"/>
          <w:spacing w:val="23"/>
        </w:rPr>
        <w:t> </w:t>
      </w:r>
      <w:r>
        <w:rPr>
          <w:color w:val="6E6158"/>
        </w:rPr>
        <w:t>as</w:t>
      </w:r>
      <w:r>
        <w:rPr>
          <w:color w:val="6E6158"/>
          <w:spacing w:val="23"/>
        </w:rPr>
        <w:t> </w:t>
      </w:r>
      <w:r>
        <w:rPr>
          <w:color w:val="6E6158"/>
        </w:rPr>
        <w:t>a</w:t>
      </w:r>
      <w:r>
        <w:rPr>
          <w:color w:val="6E6158"/>
          <w:spacing w:val="23"/>
        </w:rPr>
        <w:t> </w:t>
      </w:r>
      <w:r>
        <w:rPr>
          <w:color w:val="6E6158"/>
        </w:rPr>
        <w:t>team,</w:t>
      </w:r>
      <w:r>
        <w:rPr>
          <w:color w:val="6E6158"/>
          <w:spacing w:val="23"/>
        </w:rPr>
        <w:t> </w:t>
      </w:r>
      <w:r>
        <w:rPr>
          <w:color w:val="6E6158"/>
        </w:rPr>
        <w:t>providing</w:t>
      </w:r>
      <w:r>
        <w:rPr>
          <w:color w:val="6E6158"/>
          <w:spacing w:val="25"/>
        </w:rPr>
        <w:t> </w:t>
      </w:r>
      <w:r>
        <w:rPr>
          <w:color w:val="6E6158"/>
        </w:rPr>
        <w:t>finance</w:t>
      </w:r>
    </w:p>
    <w:p>
      <w:pPr>
        <w:pStyle w:val="BodyText"/>
        <w:spacing w:line="292" w:lineRule="auto"/>
        <w:ind w:right="331"/>
      </w:pPr>
      <w:r>
        <w:rPr>
          <w:color w:val="6E6158"/>
        </w:rPr>
        <w:t>law, tax, business entity advice, employment, </w:t>
      </w:r>
      <w:hyperlink r:id="rId14">
        <w:r>
          <w:rPr>
            <w:color w:val="FF8100"/>
            <w:u w:val="single" w:color="6E6158"/>
          </w:rPr>
          <w:t>creditors’ r</w:t>
        </w:r>
        <w:r>
          <w:rPr>
            <w:color w:val="FF8100"/>
            <w:u w:val="none"/>
          </w:rPr>
          <w:t>ig</w:t>
        </w:r>
        <w:r>
          <w:rPr>
            <w:color w:val="FF8100"/>
            <w:u w:val="single" w:color="6E6158"/>
          </w:rPr>
          <w:t>hts law</w:t>
        </w:r>
      </w:hyperlink>
      <w:r>
        <w:rPr>
          <w:color w:val="6E6158"/>
          <w:u w:val="none"/>
        </w:rPr>
        <w:t>, environmental, </w:t>
      </w:r>
      <w:r>
        <w:rPr>
          <w:color w:val="6E6158"/>
          <w:u w:val="none"/>
        </w:rPr>
        <w:t>endangered</w:t>
      </w:r>
      <w:r>
        <w:rPr>
          <w:color w:val="6E6158"/>
          <w:spacing w:val="40"/>
          <w:u w:val="none"/>
        </w:rPr>
        <w:t> </w:t>
      </w:r>
      <w:r>
        <w:rPr>
          <w:color w:val="6E6158"/>
          <w:u w:val="none"/>
        </w:rPr>
        <w:t>species act work, water rights and public lands experience to a mining project.</w:t>
      </w:r>
    </w:p>
    <w:sectPr>
      <w:type w:val="continuous"/>
      <w:pgSz w:w="12240" w:h="15840"/>
      <w:pgMar w:top="56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45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59"/>
      <w:jc w:val="both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07"/>
      <w:ind w:right="4"/>
      <w:jc w:val="center"/>
      <w:outlineLvl w:val="2"/>
    </w:pPr>
    <w:rPr>
      <w:rFonts w:ascii="Century Gothic" w:hAnsi="Century Gothic" w:eastAsia="Century Gothic" w:cs="Century Gothic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hyperlink" Target="https://www.fennemorelaw.com/services/mining-law-and-public-lands/" TargetMode="External"/><Relationship Id="rId10" Type="http://schemas.openxmlformats.org/officeDocument/2006/relationships/hyperlink" Target="https://www.fennemorelaw.com/services/business-and-finance/" TargetMode="External"/><Relationship Id="rId11" Type="http://schemas.openxmlformats.org/officeDocument/2006/relationships/hyperlink" Target="https://www.fennemorelaw.com/people/attorneys/sarah-a-strunk/" TargetMode="External"/><Relationship Id="rId12" Type="http://schemas.openxmlformats.org/officeDocument/2006/relationships/hyperlink" Target="https://www.fennemorelaw.com/contact-us/#san-diego" TargetMode="External"/><Relationship Id="rId13" Type="http://schemas.openxmlformats.org/officeDocument/2006/relationships/hyperlink" Target="mailto:sstrunk@fennemorelaw.com" TargetMode="External"/><Relationship Id="rId14" Type="http://schemas.openxmlformats.org/officeDocument/2006/relationships/hyperlink" Target="https://www.fennemorelaw.com/services/practices/financial-restructuring-bankruptcy-creditors-rights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Mining Law - Fennemore</dc:title>
  <dcterms:created xsi:type="dcterms:W3CDTF">2026-06-12T09:23:05Z</dcterms:created>
  <dcterms:modified xsi:type="dcterms:W3CDTF">2026-06-12T09:23:05Z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