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inna yang correctio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80943" y="1369338"/>
                            <a:ext cx="194310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320675">
                                <a:moveTo>
                                  <a:pt x="1942909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42909" y="320382"/>
                                </a:lnTo>
                                <a:lnTo>
                                  <a:pt x="1942909" y="315214"/>
                                </a:lnTo>
                                <a:close/>
                              </a:path>
                              <a:path w="1943100" h="320675">
                                <a:moveTo>
                                  <a:pt x="1942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42909" y="5168"/>
                                </a:lnTo>
                                <a:lnTo>
                                  <a:pt x="1942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82723" y="763308"/>
                            <a:ext cx="1955164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MINNA C. 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YANG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43413" y="1859626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26484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06614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4791" y="2226505"/>
                            <a:ext cx="1450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myang@fennemorelaw.com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minna yang correction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75;top:-2501;width:3060;height:505" id="docshape5" coordorigin="6975,-2500" coordsize="3060,505" path="m10035,-2004l6975,-2004,6975,-1996,10035,-1996,10035,-2004xm10035,-2500l6975,-2500,6975,-2492,10035,-2492,10035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78;top:-3455;width:3079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MINNA C. 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YANG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8;top:-1729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47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8748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7375;top:-1151;width:2285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myang@fennemorelaw.com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MINNA</w:t>
      </w:r>
      <w:r>
        <w:rPr>
          <w:color w:val="FF8100"/>
          <w:spacing w:val="6"/>
        </w:rPr>
        <w:t> </w:t>
      </w:r>
      <w:r>
        <w:rPr>
          <w:color w:val="FF8100"/>
        </w:rPr>
        <w:t>C.</w:t>
      </w:r>
      <w:r>
        <w:rPr>
          <w:color w:val="FF8100"/>
          <w:spacing w:val="6"/>
        </w:rPr>
        <w:t> </w:t>
      </w:r>
      <w:r>
        <w:rPr>
          <w:color w:val="FF8100"/>
          <w:spacing w:val="-4"/>
        </w:rPr>
        <w:t>YANG</w:t>
      </w:r>
    </w:p>
    <w:p>
      <w:pPr>
        <w:pStyle w:val="BodyText"/>
        <w:spacing w:line="302" w:lineRule="auto" w:before="147"/>
        <w:ind w:right="393"/>
      </w:pPr>
      <w:r>
        <w:rPr>
          <w:color w:val="6E6158"/>
        </w:rPr>
        <w:t>Minna C. Yang is a Director in the Sacramento Office working in Fennemore’s tax practice group.</w:t>
      </w:r>
      <w:r>
        <w:rPr>
          <w:color w:val="6E6158"/>
          <w:spacing w:val="40"/>
        </w:rPr>
        <w:t> 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over</w:t>
      </w:r>
      <w:r>
        <w:rPr>
          <w:color w:val="6E6158"/>
          <w:spacing w:val="14"/>
        </w:rPr>
        <w:t> </w:t>
      </w:r>
      <w:r>
        <w:rPr>
          <w:color w:val="6E6158"/>
        </w:rPr>
        <w:t>30</w:t>
      </w:r>
      <w:r>
        <w:rPr>
          <w:color w:val="6E6158"/>
          <w:spacing w:val="14"/>
        </w:rPr>
        <w:t> </w:t>
      </w:r>
      <w:r>
        <w:rPr>
          <w:color w:val="6E6158"/>
        </w:rPr>
        <w:t>years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experience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CPA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attorney,</w:t>
      </w:r>
      <w:r>
        <w:rPr>
          <w:color w:val="6E6158"/>
          <w:spacing w:val="14"/>
        </w:rPr>
        <w:t> </w:t>
      </w:r>
      <w:r>
        <w:rPr>
          <w:color w:val="6E6158"/>
        </w:rPr>
        <w:t>Minna</w:t>
      </w:r>
      <w:r>
        <w:rPr>
          <w:color w:val="6E6158"/>
          <w:spacing w:val="14"/>
        </w:rPr>
        <w:t> </w:t>
      </w:r>
      <w:r>
        <w:rPr>
          <w:color w:val="6E6158"/>
        </w:rPr>
        <w:t>is</w:t>
      </w:r>
      <w:r>
        <w:rPr>
          <w:color w:val="6E6158"/>
          <w:spacing w:val="14"/>
        </w:rPr>
        <w:t> </w:t>
      </w:r>
      <w:r>
        <w:rPr>
          <w:color w:val="6E6158"/>
        </w:rPr>
        <w:t>experienced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</w:p>
    <w:p>
      <w:pPr>
        <w:pStyle w:val="BodyText"/>
        <w:spacing w:line="224" w:lineRule="exact"/>
      </w:pPr>
      <w:r>
        <w:rPr>
          <w:color w:val="6E6158"/>
        </w:rPr>
        <w:t>federal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income</w:t>
      </w:r>
      <w:r>
        <w:rPr>
          <w:color w:val="6E6158"/>
          <w:spacing w:val="11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planning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business,</w:t>
      </w:r>
      <w:r>
        <w:rPr>
          <w:color w:val="6E6158"/>
          <w:spacing w:val="11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</w:rPr>
        <w:t>planning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transactions.</w:t>
      </w:r>
    </w:p>
    <w:p>
      <w:pPr>
        <w:pStyle w:val="BodyText"/>
        <w:spacing w:before="52"/>
      </w:pPr>
      <w:r>
        <w:rPr>
          <w:color w:val="6E6158"/>
        </w:rPr>
        <w:t>Minna</w:t>
      </w:r>
      <w:r>
        <w:rPr>
          <w:color w:val="6E6158"/>
          <w:spacing w:val="12"/>
        </w:rPr>
        <w:t> </w:t>
      </w:r>
      <w:r>
        <w:rPr>
          <w:color w:val="6E6158"/>
        </w:rPr>
        <w:t>is</w:t>
      </w:r>
      <w:r>
        <w:rPr>
          <w:color w:val="6E6158"/>
          <w:spacing w:val="12"/>
        </w:rPr>
        <w:t> </w:t>
      </w:r>
      <w:r>
        <w:rPr>
          <w:color w:val="6E6158"/>
        </w:rPr>
        <w:t>known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her</w:t>
      </w:r>
      <w:r>
        <w:rPr>
          <w:color w:val="6E6158"/>
          <w:spacing w:val="13"/>
        </w:rPr>
        <w:t> </w:t>
      </w:r>
      <w:r>
        <w:rPr>
          <w:color w:val="6E6158"/>
        </w:rPr>
        <w:t>efficiency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timely</w:t>
      </w:r>
      <w:r>
        <w:rPr>
          <w:color w:val="6E6158"/>
          <w:spacing w:val="13"/>
        </w:rPr>
        <w:t> </w:t>
      </w:r>
      <w:r>
        <w:rPr>
          <w:color w:val="6E6158"/>
        </w:rPr>
        <w:t>execution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complex</w:t>
      </w:r>
      <w:r>
        <w:rPr>
          <w:color w:val="6E6158"/>
          <w:spacing w:val="12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transactions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60"/>
      </w:pPr>
      <w:r>
        <w:rPr>
          <w:color w:val="6E6158"/>
        </w:rPr>
        <w:t>restructuring. Working often with multi-generation enterprises, she ensures that client projects </w:t>
      </w:r>
      <w:r>
        <w:rPr>
          <w:color w:val="6E6158"/>
        </w:rPr>
        <w:t>are</w:t>
      </w:r>
      <w:r>
        <w:rPr>
          <w:color w:val="6E6158"/>
          <w:spacing w:val="40"/>
        </w:rPr>
        <w:t> </w:t>
      </w:r>
      <w:r>
        <w:rPr>
          <w:color w:val="6E6158"/>
        </w:rPr>
        <w:t>completed</w:t>
      </w:r>
      <w:r>
        <w:rPr>
          <w:color w:val="6E6158"/>
          <w:spacing w:val="35"/>
        </w:rPr>
        <w:t> </w:t>
      </w:r>
      <w:r>
        <w:rPr>
          <w:color w:val="6E6158"/>
        </w:rPr>
        <w:t>within</w:t>
      </w:r>
      <w:r>
        <w:rPr>
          <w:color w:val="6E6158"/>
          <w:spacing w:val="35"/>
        </w:rPr>
        <w:t> </w:t>
      </w:r>
      <w:r>
        <w:rPr>
          <w:color w:val="6E6158"/>
        </w:rPr>
        <w:t>critical</w:t>
      </w:r>
      <w:r>
        <w:rPr>
          <w:color w:val="6E6158"/>
          <w:spacing w:val="35"/>
        </w:rPr>
        <w:t> </w:t>
      </w:r>
      <w:r>
        <w:rPr>
          <w:color w:val="6E6158"/>
        </w:rPr>
        <w:t>deadlines</w:t>
      </w:r>
      <w:r>
        <w:rPr>
          <w:color w:val="6E6158"/>
          <w:spacing w:val="35"/>
        </w:rPr>
        <w:t> </w:t>
      </w:r>
      <w:r>
        <w:rPr>
          <w:color w:val="6E6158"/>
        </w:rPr>
        <w:t>thus</w:t>
      </w:r>
      <w:r>
        <w:rPr>
          <w:color w:val="6E6158"/>
          <w:spacing w:val="35"/>
        </w:rPr>
        <w:t> </w:t>
      </w:r>
      <w:r>
        <w:rPr>
          <w:color w:val="6E6158"/>
        </w:rPr>
        <w:t>adding</w:t>
      </w:r>
      <w:r>
        <w:rPr>
          <w:color w:val="6E6158"/>
          <w:spacing w:val="35"/>
        </w:rPr>
        <w:t> </w:t>
      </w:r>
      <w:r>
        <w:rPr>
          <w:color w:val="6E6158"/>
        </w:rPr>
        <w:t>significant</w:t>
      </w:r>
      <w:r>
        <w:rPr>
          <w:color w:val="6E6158"/>
          <w:spacing w:val="35"/>
        </w:rPr>
        <w:t> </w:t>
      </w:r>
      <w:r>
        <w:rPr>
          <w:color w:val="6E6158"/>
        </w:rPr>
        <w:t>value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their</w:t>
      </w:r>
      <w:r>
        <w:rPr>
          <w:color w:val="6E6158"/>
          <w:spacing w:val="35"/>
        </w:rPr>
        <w:t> </w:t>
      </w:r>
      <w:r>
        <w:rPr>
          <w:color w:val="6E6158"/>
        </w:rPr>
        <w:t>business</w:t>
      </w:r>
      <w:r>
        <w:rPr>
          <w:color w:val="6E6158"/>
          <w:spacing w:val="35"/>
        </w:rPr>
        <w:t> </w:t>
      </w:r>
      <w:r>
        <w:rPr>
          <w:color w:val="6E6158"/>
        </w:rPr>
        <w:t>operations.</w:t>
      </w:r>
    </w:p>
    <w:p>
      <w:pPr>
        <w:pStyle w:val="BodyText"/>
        <w:spacing w:line="292" w:lineRule="auto" w:before="1"/>
        <w:ind w:right="402"/>
      </w:pPr>
      <w:r>
        <w:rPr>
          <w:color w:val="6E6158"/>
        </w:rPr>
        <w:t>Areas of specific knowledge include Like-Kind Exchanges, Qualified Opportunity Zone </w:t>
      </w:r>
      <w:r>
        <w:rPr>
          <w:color w:val="6E6158"/>
        </w:rPr>
        <w:t>Funds,</w:t>
      </w:r>
      <w:r>
        <w:rPr>
          <w:color w:val="6E6158"/>
          <w:spacing w:val="40"/>
        </w:rPr>
        <w:t> </w:t>
      </w:r>
      <w:r>
        <w:rPr>
          <w:color w:val="6E6158"/>
        </w:rPr>
        <w:t>and Pass-Through Entity Taxation.</w:t>
      </w:r>
    </w:p>
    <w:p>
      <w:pPr>
        <w:pStyle w:val="BodyText"/>
        <w:spacing w:line="292" w:lineRule="auto" w:before="205"/>
        <w:ind w:right="402"/>
      </w:pPr>
      <w:r>
        <w:rPr>
          <w:color w:val="6E6158"/>
        </w:rPr>
        <w:t>Minna enjoys working with families and business owners to accomplish their succession </w:t>
      </w:r>
      <w:r>
        <w:rPr>
          <w:color w:val="6E6158"/>
        </w:rPr>
        <w:t>planning</w:t>
      </w:r>
      <w:r>
        <w:rPr>
          <w:color w:val="6E6158"/>
          <w:spacing w:val="40"/>
        </w:rPr>
        <w:t> </w:t>
      </w:r>
      <w:r>
        <w:rPr>
          <w:color w:val="6E6158"/>
        </w:rPr>
        <w:t>objectives in a tax-efficient manner.</w:t>
      </w:r>
    </w:p>
    <w:p>
      <w:pPr>
        <w:pStyle w:val="BodyText"/>
        <w:spacing w:line="297" w:lineRule="auto" w:before="196"/>
        <w:ind w:right="393"/>
      </w:pPr>
      <w:r>
        <w:rPr>
          <w:color w:val="6E6158"/>
        </w:rPr>
        <w:t>She also serves as outside general counsel to closely held and multi-generation businesses,</w:t>
      </w:r>
      <w:r>
        <w:rPr>
          <w:color w:val="6E6158"/>
          <w:spacing w:val="40"/>
        </w:rPr>
        <w:t> </w:t>
      </w:r>
      <w:r>
        <w:rPr>
          <w:color w:val="6E6158"/>
        </w:rPr>
        <w:t>providing practical, day-to-day guidance that helps owners and executives manage</w:t>
      </w:r>
      <w:r>
        <w:rPr>
          <w:color w:val="6E6158"/>
          <w:spacing w:val="40"/>
        </w:rPr>
        <w:t> </w:t>
      </w:r>
      <w:r>
        <w:rPr>
          <w:color w:val="6E6158"/>
        </w:rPr>
        <w:t>governance,</w:t>
      </w:r>
      <w:r>
        <w:rPr>
          <w:color w:val="6E6158"/>
          <w:spacing w:val="20"/>
        </w:rPr>
        <w:t> </w:t>
      </w:r>
      <w:r>
        <w:rPr>
          <w:color w:val="6E6158"/>
        </w:rPr>
        <w:t>operational</w:t>
      </w:r>
      <w:r>
        <w:rPr>
          <w:color w:val="6E6158"/>
          <w:spacing w:val="20"/>
        </w:rPr>
        <w:t> </w:t>
      </w:r>
      <w:r>
        <w:rPr>
          <w:color w:val="6E6158"/>
        </w:rPr>
        <w:t>issues,</w:t>
      </w:r>
      <w:r>
        <w:rPr>
          <w:color w:val="6E6158"/>
          <w:spacing w:val="20"/>
        </w:rPr>
        <w:t> </w:t>
      </w:r>
      <w:r>
        <w:rPr>
          <w:color w:val="6E6158"/>
        </w:rPr>
        <w:t>contract</w:t>
      </w:r>
      <w:r>
        <w:rPr>
          <w:color w:val="6E6158"/>
          <w:spacing w:val="20"/>
        </w:rPr>
        <w:t> </w:t>
      </w:r>
      <w:r>
        <w:rPr>
          <w:color w:val="6E6158"/>
        </w:rPr>
        <w:t>negotiations,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risk.</w:t>
      </w:r>
      <w:r>
        <w:rPr>
          <w:color w:val="6E6158"/>
          <w:spacing w:val="20"/>
        </w:rPr>
        <w:t> </w:t>
      </w:r>
      <w:r>
        <w:rPr>
          <w:color w:val="6E6158"/>
        </w:rPr>
        <w:t>With</w:t>
      </w:r>
      <w:r>
        <w:rPr>
          <w:color w:val="6E6158"/>
          <w:spacing w:val="20"/>
        </w:rPr>
        <w:t> </w:t>
      </w:r>
      <w:r>
        <w:rPr>
          <w:color w:val="6E6158"/>
        </w:rPr>
        <w:t>decades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combined</w:t>
      </w:r>
    </w:p>
    <w:p>
      <w:pPr>
        <w:pStyle w:val="BodyText"/>
        <w:spacing w:line="229" w:lineRule="exact"/>
      </w:pPr>
      <w:r>
        <w:rPr>
          <w:color w:val="6E6158"/>
        </w:rPr>
        <w:t>legal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CPA</w:t>
      </w:r>
      <w:r>
        <w:rPr>
          <w:color w:val="6E6158"/>
          <w:spacing w:val="13"/>
        </w:rPr>
        <w:t> </w:t>
      </w:r>
      <w:r>
        <w:rPr>
          <w:color w:val="6E6158"/>
        </w:rPr>
        <w:t>training,</w:t>
      </w:r>
      <w:r>
        <w:rPr>
          <w:color w:val="6E6158"/>
          <w:spacing w:val="12"/>
        </w:rPr>
        <w:t> </w:t>
      </w:r>
      <w:r>
        <w:rPr>
          <w:color w:val="6E6158"/>
        </w:rPr>
        <w:t>she</w:t>
      </w:r>
      <w:r>
        <w:rPr>
          <w:color w:val="6E6158"/>
          <w:spacing w:val="12"/>
        </w:rPr>
        <w:t> </w:t>
      </w:r>
      <w:r>
        <w:rPr>
          <w:color w:val="6E6158"/>
        </w:rPr>
        <w:t>brings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uniquely</w:t>
      </w:r>
      <w:r>
        <w:rPr>
          <w:color w:val="6E6158"/>
          <w:spacing w:val="12"/>
        </w:rPr>
        <w:t> </w:t>
      </w:r>
      <w:r>
        <w:rPr>
          <w:color w:val="6E6158"/>
        </w:rPr>
        <w:t>integrated</w:t>
      </w:r>
      <w:r>
        <w:rPr>
          <w:color w:val="6E6158"/>
          <w:spacing w:val="13"/>
        </w:rPr>
        <w:t> </w:t>
      </w:r>
      <w:r>
        <w:rPr>
          <w:color w:val="6E6158"/>
        </w:rPr>
        <w:t>perspective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2"/>
        </w:rPr>
        <w:t> </w:t>
      </w:r>
      <w:r>
        <w:rPr>
          <w:color w:val="6E6158"/>
        </w:rPr>
        <w:t>decision-</w:t>
      </w:r>
      <w:r>
        <w:rPr>
          <w:color w:val="6E6158"/>
          <w:spacing w:val="-2"/>
        </w:rPr>
        <w:t>making</w:t>
      </w:r>
    </w:p>
    <w:p>
      <w:pPr>
        <w:pStyle w:val="BodyText"/>
        <w:spacing w:line="295" w:lineRule="auto" w:before="52"/>
        <w:ind w:right="285"/>
      </w:pPr>
      <w:r>
        <w:rPr>
          <w:color w:val="6E6158"/>
        </w:rPr>
        <w:t>—ensuring that clients understand not only the legal implications of a course of action, but also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tax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financial</w:t>
      </w:r>
      <w:r>
        <w:rPr>
          <w:color w:val="6E6158"/>
          <w:spacing w:val="27"/>
        </w:rPr>
        <w:t> </w:t>
      </w:r>
      <w:r>
        <w:rPr>
          <w:color w:val="6E6158"/>
        </w:rPr>
        <w:t>impact.</w:t>
      </w:r>
      <w:r>
        <w:rPr>
          <w:color w:val="6E6158"/>
          <w:spacing w:val="27"/>
        </w:rPr>
        <w:t> </w:t>
      </w:r>
      <w:r>
        <w:rPr>
          <w:color w:val="6E6158"/>
        </w:rPr>
        <w:t>Minna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known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her</w:t>
      </w:r>
      <w:r>
        <w:rPr>
          <w:color w:val="6E6158"/>
          <w:spacing w:val="27"/>
        </w:rPr>
        <w:t> </w:t>
      </w:r>
      <w:r>
        <w:rPr>
          <w:color w:val="6E6158"/>
        </w:rPr>
        <w:t>efficiency,</w:t>
      </w:r>
      <w:r>
        <w:rPr>
          <w:color w:val="6E6158"/>
          <w:spacing w:val="27"/>
        </w:rPr>
        <w:t> </w:t>
      </w:r>
      <w:r>
        <w:rPr>
          <w:color w:val="6E6158"/>
        </w:rPr>
        <w:t>clarity,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steady,</w:t>
      </w:r>
      <w:r>
        <w:rPr>
          <w:color w:val="6E6158"/>
          <w:spacing w:val="27"/>
        </w:rPr>
        <w:t> </w:t>
      </w:r>
      <w:r>
        <w:rPr>
          <w:color w:val="6E6158"/>
        </w:rPr>
        <w:t>solutions-oriented judgment, supporting businesses through routine operational matters as well as major</w:t>
      </w:r>
      <w:r>
        <w:rPr>
          <w:color w:val="6E6158"/>
          <w:spacing w:val="40"/>
        </w:rPr>
        <w:t> </w:t>
      </w:r>
      <w:r>
        <w:rPr>
          <w:color w:val="6E6158"/>
        </w:rPr>
        <w:t>transactions and long-range planning.</w:t>
      </w:r>
    </w:p>
    <w:p>
      <w:pPr>
        <w:pStyle w:val="BodyText"/>
        <w:spacing w:line="302" w:lineRule="auto" w:before="197"/>
      </w:pPr>
      <w:r>
        <w:rPr>
          <w:color w:val="6E6158"/>
        </w:rPr>
        <w:t>When not working Minna enjoys spending time with family over delicious food and attending </w:t>
      </w:r>
      <w:r>
        <w:rPr>
          <w:color w:val="6E6158"/>
        </w:rPr>
        <w:t>live</w:t>
      </w:r>
      <w:r>
        <w:rPr>
          <w:color w:val="6E6158"/>
          <w:spacing w:val="40"/>
        </w:rPr>
        <w:t> </w:t>
      </w:r>
      <w:r>
        <w:rPr>
          <w:color w:val="6E6158"/>
        </w:rPr>
        <w:t>performances of music and theater.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Lincoln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line="420" w:lineRule="auto" w:before="174"/>
        <w:ind w:right="4056"/>
      </w:pPr>
      <w:r>
        <w:rPr>
          <w:color w:val="6E6158"/>
        </w:rPr>
        <w:t>M.S., Taxation, Golden Gate University, San </w:t>
      </w:r>
      <w:r>
        <w:rPr>
          <w:color w:val="6E6158"/>
        </w:rPr>
        <w:t>Francisco</w:t>
      </w:r>
      <w:r>
        <w:rPr>
          <w:color w:val="6E6158"/>
        </w:rPr>
        <w:t> B.S., California State University, Sacramento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right="6813"/>
      </w:pPr>
      <w:r>
        <w:rPr>
          <w:color w:val="6E6158"/>
        </w:rPr>
        <w:t>Mergers &amp; </w:t>
      </w:r>
      <w:r>
        <w:rPr>
          <w:color w:val="6E6158"/>
        </w:rPr>
        <w:t>Acquisitions Real Estate</w:t>
      </w:r>
    </w:p>
    <w:p>
      <w:pPr>
        <w:pStyle w:val="BodyText"/>
        <w:spacing w:before="7"/>
      </w:pP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74"/>
        <w:ind w:right="7377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line="231" w:lineRule="exact"/>
      </w:pP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 w:before="1"/>
        <w:ind w:right="393"/>
      </w:pPr>
      <w:r>
        <w:rPr>
          <w:color w:val="6E6158"/>
        </w:rPr>
        <w:t>Speaker, “</w:t>
      </w:r>
      <w:hyperlink r:id="rId11">
        <w:r>
          <w:rPr>
            <w:color w:val="F5821F"/>
          </w:rPr>
          <w:t>Estate Planning for the Real Estate and Agricultural Property Owner (E&amp;G)</w:t>
        </w:r>
      </w:hyperlink>
      <w:r>
        <w:rPr>
          <w:color w:val="6E6158"/>
        </w:rPr>
        <w:t>,” 2025 California All-Tax Conference, California Lawyers Association, November 14, 2025</w:t>
      </w:r>
    </w:p>
    <w:p>
      <w:pPr>
        <w:pStyle w:val="BodyText"/>
        <w:spacing w:line="292" w:lineRule="auto" w:before="123"/>
        <w:ind w:right="393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Business Contracts in 2025: Straightforward Answers for Nuanced </w:t>
        </w:r>
        <w:r>
          <w:rPr>
            <w:color w:val="F5821F"/>
          </w:rPr>
          <w:t>Situations</w:t>
        </w:r>
      </w:hyperlink>
      <w:r>
        <w:rPr>
          <w:color w:val="6E6158"/>
        </w:rPr>
        <w:t>,” Fennemore Blog, August 14, 2025</w:t>
      </w:r>
    </w:p>
    <w:p>
      <w:pPr>
        <w:pStyle w:val="BodyText"/>
        <w:spacing w:line="292" w:lineRule="auto" w:before="131"/>
      </w:pPr>
      <w:r>
        <w:rPr>
          <w:color w:val="6E6158"/>
        </w:rPr>
        <w:t>Co-Author, “</w:t>
      </w:r>
      <w:hyperlink r:id="rId13">
        <w:r>
          <w:rPr>
            <w:color w:val="F5821F"/>
          </w:rPr>
          <w:t>Key considerations and legal requirements when buying and selling boomer-</w:t>
        </w:r>
        <w:r>
          <w:rPr>
            <w:color w:val="F5821F"/>
          </w:rPr>
          <w:t>owned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businesses</w:t>
        </w:r>
      </w:hyperlink>
      <w:r>
        <w:rPr>
          <w:color w:val="6E6158"/>
        </w:rPr>
        <w:t>,” Sacramento Business Journal, August 9, 2024</w:t>
      </w:r>
    </w:p>
    <w:p>
      <w:pPr>
        <w:pStyle w:val="BodyText"/>
        <w:spacing w:line="302" w:lineRule="auto" w:before="123"/>
      </w:pPr>
      <w:r>
        <w:rPr>
          <w:color w:val="6E6158"/>
        </w:rPr>
        <w:t>Co-Author, “</w:t>
      </w:r>
      <w:hyperlink r:id="rId14">
        <w:r>
          <w:rPr>
            <w:color w:val="F5821F"/>
          </w:rPr>
          <w:t>What the FTC’s new noncompete rule means for California businesses</w:t>
        </w:r>
      </w:hyperlink>
      <w:r>
        <w:rPr>
          <w:color w:val="6E6158"/>
        </w:rPr>
        <w:t>,” </w:t>
      </w:r>
      <w:r>
        <w:rPr>
          <w:color w:val="6E6158"/>
        </w:rPr>
        <w:t>Sacramento</w:t>
      </w:r>
      <w:r>
        <w:rPr>
          <w:color w:val="6E6158"/>
          <w:spacing w:val="40"/>
        </w:rPr>
        <w:t> </w:t>
      </w:r>
      <w:r>
        <w:rPr>
          <w:color w:val="6E6158"/>
        </w:rPr>
        <w:t>Business Journal, August 8, 2024</w:t>
      </w:r>
    </w:p>
    <w:p>
      <w:pPr>
        <w:pStyle w:val="BodyText"/>
        <w:spacing w:before="113"/>
      </w:pP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“Corporate</w:t>
      </w:r>
      <w:r>
        <w:rPr>
          <w:color w:val="6E6158"/>
          <w:spacing w:val="11"/>
        </w:rPr>
        <w:t> </w:t>
      </w:r>
      <w:r>
        <w:rPr>
          <w:color w:val="6E6158"/>
        </w:rPr>
        <w:t>Transparency</w:t>
      </w:r>
      <w:r>
        <w:rPr>
          <w:color w:val="6E6158"/>
          <w:spacing w:val="11"/>
        </w:rPr>
        <w:t> </w:t>
      </w:r>
      <w:r>
        <w:rPr>
          <w:color w:val="6E6158"/>
        </w:rPr>
        <w:t>Act,”</w:t>
      </w:r>
      <w:r>
        <w:rPr>
          <w:color w:val="6E6158"/>
          <w:spacing w:val="11"/>
        </w:rPr>
        <w:t> </w:t>
      </w:r>
      <w:r>
        <w:rPr>
          <w:color w:val="6E6158"/>
        </w:rPr>
        <w:t>Firm</w:t>
      </w:r>
      <w:r>
        <w:rPr>
          <w:color w:val="6E6158"/>
          <w:spacing w:val="11"/>
        </w:rPr>
        <w:t> </w:t>
      </w:r>
      <w:r>
        <w:rPr>
          <w:color w:val="6E6158"/>
        </w:rPr>
        <w:t>Newsletter,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19,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402"/>
      </w:pPr>
      <w:r>
        <w:rPr>
          <w:color w:val="6E6158"/>
        </w:rPr>
        <w:t>Co-Author, “Musings on Implications of the Repeal of the Technical Termination Provisions Under IRC 708 for 1031 Exchanges,” Firm Newsletter, June 17, 2019</w:t>
      </w:r>
    </w:p>
    <w:p>
      <w:pPr>
        <w:pStyle w:val="BodyText"/>
        <w:spacing w:line="420" w:lineRule="auto" w:before="132"/>
      </w:pPr>
      <w:r>
        <w:rPr>
          <w:color w:val="6E6158"/>
        </w:rPr>
        <w:t>Presenter, “Partnership Allocation Rules – Impact of Recent Regulations,” November 15, </w:t>
      </w:r>
      <w:r>
        <w:rPr>
          <w:color w:val="6E6158"/>
        </w:rPr>
        <w:t>2017 Presenter, Honey, I Forgot About the Income Tax!” Firm Presentation, February 25, 2016</w:t>
      </w:r>
    </w:p>
    <w:p>
      <w:pPr>
        <w:pStyle w:val="Heading1"/>
        <w:spacing w:before="28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3012"/>
      </w:pPr>
      <w:r>
        <w:rPr>
          <w:color w:val="6E6158"/>
        </w:rPr>
        <w:t>Member, California Society of Certified Public Accountants Member,</w:t>
      </w:r>
      <w:r>
        <w:rPr>
          <w:color w:val="6E6158"/>
          <w:spacing w:val="10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Institute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Certified</w:t>
      </w:r>
      <w:r>
        <w:rPr>
          <w:color w:val="6E6158"/>
          <w:spacing w:val="10"/>
        </w:rPr>
        <w:t> </w:t>
      </w:r>
      <w:r>
        <w:rPr>
          <w:color w:val="6E6158"/>
        </w:rPr>
        <w:t>Public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Accountants</w:t>
      </w:r>
    </w:p>
    <w:p>
      <w:pPr>
        <w:pStyle w:val="BodyText"/>
        <w:spacing w:line="420" w:lineRule="auto"/>
        <w:ind w:right="1811"/>
      </w:pPr>
      <w:r>
        <w:rPr>
          <w:color w:val="6E6158"/>
        </w:rPr>
        <w:t>Member, Tax and Business Sections, Sacramento County Bar </w:t>
      </w:r>
      <w:r>
        <w:rPr>
          <w:color w:val="6E6158"/>
        </w:rPr>
        <w:t>Association Member, Tax Section, State Bar of California</w:t>
      </w:r>
    </w:p>
    <w:p>
      <w:pPr>
        <w:pStyle w:val="BodyText"/>
        <w:spacing w:line="231" w:lineRule="exact"/>
      </w:pP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Adjunct</w:t>
      </w:r>
      <w:r>
        <w:rPr>
          <w:color w:val="6E6158"/>
          <w:spacing w:val="11"/>
        </w:rPr>
        <w:t> </w:t>
      </w:r>
      <w:r>
        <w:rPr>
          <w:color w:val="6E6158"/>
        </w:rPr>
        <w:t>Instructor,</w:t>
      </w:r>
      <w:r>
        <w:rPr>
          <w:color w:val="6E6158"/>
          <w:spacing w:val="11"/>
        </w:rPr>
        <w:t> </w:t>
      </w:r>
      <w:r>
        <w:rPr>
          <w:color w:val="6E6158"/>
        </w:rPr>
        <w:t>Golden</w:t>
      </w:r>
      <w:r>
        <w:rPr>
          <w:color w:val="6E6158"/>
          <w:spacing w:val="10"/>
        </w:rPr>
        <w:t> </w:t>
      </w:r>
      <w:r>
        <w:rPr>
          <w:color w:val="6E6158"/>
        </w:rPr>
        <w:t>Gate</w:t>
      </w:r>
      <w:r>
        <w:rPr>
          <w:color w:val="6E6158"/>
          <w:spacing w:val="11"/>
        </w:rPr>
        <w:t> </w:t>
      </w:r>
      <w:r>
        <w:rPr>
          <w:color w:val="6E6158"/>
        </w:rPr>
        <w:t>University,</w:t>
      </w:r>
      <w:r>
        <w:rPr>
          <w:color w:val="6E6158"/>
          <w:spacing w:val="11"/>
        </w:rPr>
        <w:t> </w:t>
      </w:r>
      <w:r>
        <w:rPr>
          <w:color w:val="6E6158"/>
        </w:rPr>
        <w:t>2003-</w:t>
      </w:r>
      <w:r>
        <w:rPr>
          <w:color w:val="6E6158"/>
          <w:spacing w:val="-4"/>
        </w:rPr>
        <w:t>2005</w:t>
      </w:r>
    </w:p>
    <w:p>
      <w:pPr>
        <w:pStyle w:val="BodyText"/>
        <w:spacing w:before="164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>
          <w:color w:val="6E6158"/>
        </w:rPr>
        <w:t>Certified</w:t>
      </w:r>
      <w:r>
        <w:rPr>
          <w:color w:val="6E6158"/>
          <w:spacing w:val="14"/>
        </w:rPr>
        <w:t> </w:t>
      </w:r>
      <w:r>
        <w:rPr>
          <w:color w:val="6E6158"/>
        </w:rPr>
        <w:t>Public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Accountant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myang@fennemorelaw.com" TargetMode="External"/><Relationship Id="rId11" Type="http://schemas.openxmlformats.org/officeDocument/2006/relationships/hyperlink" Target="https://calawyers.org/2025-annual-meeting-of-the-tax-bar-and-tax-policy-conference/schedule/" TargetMode="External"/><Relationship Id="rId12" Type="http://schemas.openxmlformats.org/officeDocument/2006/relationships/hyperlink" Target="https://www.fennemorelaw.com/business-contracts-in-2025-straightforward-answers-for-nuanced-situations/" TargetMode="External"/><Relationship Id="rId13" Type="http://schemas.openxmlformats.org/officeDocument/2006/relationships/hyperlink" Target="https://www.bizjournals.com/sacramento/news/2024/08/09/buying-selling-boomer-owned-businesses.html" TargetMode="External"/><Relationship Id="rId14" Type="http://schemas.openxmlformats.org/officeDocument/2006/relationships/hyperlink" Target="https://www.bizjournals.com/sacramento/news/2024/08/08/ftc-noncompete-rule-california-businesses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Minna C. Yang - Fennemore</dc:title>
  <dcterms:created xsi:type="dcterms:W3CDTF">2026-06-12T09:54:00Z</dcterms:created>
  <dcterms:modified xsi:type="dcterms:W3CDTF">2026-06-12T09:54:00Z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