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Irv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PATRICK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IRVINE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602.916.5606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pirvine@fennemorelaw.com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atrick Irvin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PATRICK</w:t>
                        </w:r>
                        <w:r>
                          <w:rPr>
                            <w:color w:val="FFFFFF"/>
                            <w:spacing w:val="-19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IRVINE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602.916.5606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pirvine@fennemorelaw.com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PATRICK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IRVINE</w:t>
      </w:r>
    </w:p>
    <w:p>
      <w:pPr>
        <w:pStyle w:val="BodyText"/>
        <w:spacing w:line="302" w:lineRule="auto" w:before="147"/>
        <w:ind w:left="99" w:firstLine="0"/>
      </w:pPr>
      <w:r>
        <w:rPr>
          <w:color w:val="6E6158"/>
        </w:rPr>
        <w:t>Pat is a former Judge of the Arizona Court of Appeals who frequently serves as an arbitrator and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advocate,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practices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forming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advising</w:t>
      </w:r>
      <w:r>
        <w:rPr>
          <w:color w:val="6E6158"/>
          <w:spacing w:val="37"/>
        </w:rPr>
        <w:t> </w:t>
      </w:r>
      <w:r>
        <w:rPr>
          <w:color w:val="6E6158"/>
        </w:rPr>
        <w:t>nonprofit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tax-exempt</w:t>
      </w:r>
    </w:p>
    <w:p>
      <w:pPr>
        <w:pStyle w:val="BodyText"/>
        <w:spacing w:line="295" w:lineRule="auto" w:before="0"/>
        <w:ind w:left="99" w:right="659" w:firstLine="0"/>
      </w:pP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broad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judge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interpreting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applying statutes and contracts, combined with specialized knowledge and experience in taxation and</w:t>
      </w:r>
      <w:r>
        <w:rPr>
          <w:color w:val="6E6158"/>
          <w:spacing w:val="40"/>
        </w:rPr>
        <w:t> </w:t>
      </w:r>
      <w:r>
        <w:rPr>
          <w:color w:val="6E6158"/>
        </w:rPr>
        <w:t>government regulation, makes him uniquely qualified to understand what governing </w:t>
      </w:r>
      <w:r>
        <w:rPr>
          <w:color w:val="6E6158"/>
        </w:rPr>
        <w:t>documents</w:t>
      </w:r>
      <w:r>
        <w:rPr>
          <w:color w:val="6E6158"/>
          <w:spacing w:val="40"/>
        </w:rPr>
        <w:t> </w:t>
      </w:r>
      <w:r>
        <w:rPr>
          <w:color w:val="6E6158"/>
        </w:rPr>
        <w:t>and agreements mean and how they should be drafted.</w:t>
      </w:r>
    </w:p>
    <w:p>
      <w:pPr>
        <w:pStyle w:val="BodyText"/>
        <w:spacing w:line="295" w:lineRule="auto" w:before="187"/>
        <w:ind w:left="99" w:right="430" w:firstLine="0"/>
      </w:pPr>
      <w:r>
        <w:rPr>
          <w:color w:val="6E6158"/>
        </w:rPr>
        <w:t>Pat has a master’s degree in tax law and previously served as the Chief Counsel of the Arizona</w:t>
      </w:r>
      <w:r>
        <w:rPr>
          <w:color w:val="6E6158"/>
          <w:spacing w:val="40"/>
        </w:rPr>
        <w:t> </w:t>
      </w:r>
      <w:r>
        <w:rPr>
          <w:color w:val="6E6158"/>
        </w:rPr>
        <w:t>Attorney General’s Tax Section and Solicitor General of Arizona. He has represented clients in</w:t>
      </w:r>
      <w:r>
        <w:rPr>
          <w:color w:val="6E6158"/>
          <w:spacing w:val="40"/>
        </w:rPr>
        <w:t> </w:t>
      </w:r>
      <w:r>
        <w:rPr>
          <w:color w:val="6E6158"/>
        </w:rPr>
        <w:t>controversies before administrative agencies and at all levels of the state and federal courts,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successful</w:t>
      </w:r>
      <w:r>
        <w:rPr>
          <w:color w:val="6E6158"/>
          <w:spacing w:val="26"/>
        </w:rPr>
        <w:t> </w:t>
      </w:r>
      <w:r>
        <w:rPr>
          <w:color w:val="6E6158"/>
        </w:rPr>
        <w:t>argument</w:t>
      </w:r>
      <w:r>
        <w:rPr>
          <w:color w:val="6E6158"/>
          <w:spacing w:val="26"/>
        </w:rPr>
        <w:t> </w:t>
      </w:r>
      <w:r>
        <w:rPr>
          <w:color w:val="6E6158"/>
        </w:rPr>
        <w:t>before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Supreme</w:t>
      </w:r>
      <w:r>
        <w:rPr>
          <w:color w:val="6E6158"/>
          <w:spacing w:val="26"/>
        </w:rPr>
        <w:t> </w:t>
      </w:r>
      <w:r>
        <w:rPr>
          <w:color w:val="6E6158"/>
        </w:rPr>
        <w:t>Court.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Tax Manager at a leading accounting firm, where he assisted clients with compliance, tax planning,</w:t>
      </w:r>
      <w:r>
        <w:rPr>
          <w:color w:val="6E6158"/>
          <w:spacing w:val="40"/>
        </w:rPr>
        <w:t> </w:t>
      </w:r>
      <w:r>
        <w:rPr>
          <w:color w:val="6E6158"/>
        </w:rPr>
        <w:t>and tax controversies.</w:t>
      </w:r>
    </w:p>
    <w:p>
      <w:pPr>
        <w:pStyle w:val="BodyText"/>
        <w:spacing w:line="292" w:lineRule="auto" w:before="201"/>
        <w:ind w:left="99" w:right="659" w:firstLine="0"/>
      </w:pPr>
      <w:r>
        <w:rPr>
          <w:color w:val="6E6158"/>
        </w:rPr>
        <w:t>His experience in ethics and professional responsibility includes service as Chair of the Arizona</w:t>
      </w:r>
      <w:r>
        <w:rPr>
          <w:color w:val="6E6158"/>
          <w:spacing w:val="40"/>
        </w:rPr>
        <w:t> </w:t>
      </w:r>
      <w:r>
        <w:rPr>
          <w:color w:val="6E6158"/>
        </w:rPr>
        <w:t>Supreme Court’s Committee on Character and Fitness and a member of the Judicial Ethics</w:t>
      </w:r>
      <w:r>
        <w:rPr>
          <w:color w:val="6E6158"/>
          <w:spacing w:val="40"/>
        </w:rPr>
        <w:t> </w:t>
      </w:r>
      <w:r>
        <w:rPr>
          <w:color w:val="6E6158"/>
        </w:rPr>
        <w:t>Advisory Committee.</w:t>
      </w:r>
    </w:p>
    <w:p>
      <w:pPr>
        <w:pStyle w:val="BodyText"/>
        <w:spacing w:line="297" w:lineRule="auto" w:before="197"/>
        <w:ind w:left="99" w:right="659" w:firstLine="0"/>
      </w:pPr>
      <w:r>
        <w:rPr>
          <w:color w:val="6E6158"/>
        </w:rPr>
        <w:t>For forty years, Pat has been a frequent speaker, teacher, and trainer on legal issues, including nonprofit formation and operation, taxation, open meeting law, mediation, arbitration, and</w:t>
      </w:r>
      <w:r>
        <w:rPr>
          <w:color w:val="6E6158"/>
          <w:spacing w:val="40"/>
        </w:rPr>
        <w:t> </w:t>
      </w:r>
      <w:r>
        <w:rPr>
          <w:color w:val="6E6158"/>
        </w:rPr>
        <w:t>Indian law. His teaching for institutions of higher education has included dozens of sections of</w:t>
      </w:r>
      <w:r>
        <w:rPr>
          <w:color w:val="6E6158"/>
          <w:spacing w:val="40"/>
        </w:rPr>
        <w:t> </w:t>
      </w:r>
      <w:r>
        <w:rPr>
          <w:color w:val="6E6158"/>
        </w:rPr>
        <w:t>business law and public administration, as well as employment law, accounting, taxation,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Indian law.</w:t>
      </w:r>
    </w:p>
    <w:p>
      <w:pPr>
        <w:pStyle w:val="BodyText"/>
        <w:spacing w:before="192"/>
        <w:ind w:left="99" w:firstLine="0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Pat</w:t>
      </w:r>
      <w:r>
        <w:rPr>
          <w:color w:val="6E6158"/>
          <w:spacing w:val="11"/>
        </w:rPr>
        <w:t> </w:t>
      </w:r>
      <w:r>
        <w:rPr>
          <w:color w:val="6E6158"/>
        </w:rPr>
        <w:t>volunteers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committees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charities.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LL.M.,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Taxation,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Phoenix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Alumni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Hall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Fame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Arbitration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Nonprofit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Tax-Exempt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Appeals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Indian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7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Appellate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Native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Administrative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Alternative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Resolution, 2018-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Southwest 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Tax,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Henry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Outstanding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Jim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Jones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Distinguished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Service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Conference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General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Distinguished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Brief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General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Counselor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Year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General’s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Office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" w:after="0"/>
        <w:ind w:left="99" w:right="622" w:firstLine="0"/>
        <w:jc w:val="left"/>
        <w:rPr>
          <w:sz w:val="19"/>
        </w:rPr>
      </w:pPr>
      <w:r>
        <w:rPr>
          <w:color w:val="6E6158"/>
          <w:sz w:val="19"/>
        </w:rPr>
        <w:t>Featured, “Patrick Irvine: Appointed as Vice-Chair of the Committee on Character and Fitness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in the Supreme Court of the State of Arizona,” Arizona Courts, February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17" w:firstLine="0"/>
        <w:jc w:val="left"/>
        <w:rPr>
          <w:sz w:val="19"/>
        </w:rPr>
      </w:pPr>
      <w:hyperlink r:id="rId11">
        <w:r>
          <w:rPr>
            <w:color w:val="FF8100"/>
            <w:sz w:val="19"/>
          </w:rPr>
          <w:t>Co-author, “The CARES Act: New Tax Provisions for Charitable Deductions,” Fennemore Client</w:t>
        </w:r>
      </w:hyperlink>
      <w:r>
        <w:rPr>
          <w:color w:val="FF8100"/>
          <w:sz w:val="19"/>
        </w:rPr>
        <w:t> </w:t>
      </w:r>
      <w:hyperlink r:id="rId11">
        <w:r>
          <w:rPr>
            <w:color w:val="FF8100"/>
            <w:sz w:val="19"/>
          </w:rPr>
          <w:t>Alert, March 31,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hyperlink r:id="rId12">
        <w:r>
          <w:rPr>
            <w:color w:val="FF8100"/>
            <w:sz w:val="19"/>
          </w:rPr>
          <w:t>Co-author,</w:t>
        </w:r>
        <w:r>
          <w:rPr>
            <w:color w:val="FF8100"/>
            <w:spacing w:val="9"/>
            <w:sz w:val="19"/>
          </w:rPr>
          <w:t> </w:t>
        </w:r>
        <w:r>
          <w:rPr>
            <w:color w:val="FF8100"/>
            <w:sz w:val="19"/>
          </w:rPr>
          <w:t>“Model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City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Tax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Code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Gets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Proposed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Edits,”</w:t>
        </w:r>
        <w:r>
          <w:rPr>
            <w:color w:val="FF8100"/>
            <w:spacing w:val="9"/>
            <w:sz w:val="19"/>
          </w:rPr>
          <w:t> </w:t>
        </w:r>
        <w:r>
          <w:rPr>
            <w:color w:val="FF8100"/>
            <w:sz w:val="19"/>
          </w:rPr>
          <w:t>Fennemore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Client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Alert,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March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5,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3">
        <w:r>
          <w:rPr>
            <w:color w:val="FF8100"/>
            <w:sz w:val="19"/>
          </w:rPr>
          <w:t>Interview,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“Tribal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Tax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Jurisdiction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and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Remote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Sales,”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The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Talking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Stick,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August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“Sales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Online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Retailers,”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Morning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“ADR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Talks,”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2018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Convention,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453" w:firstLine="0"/>
        <w:jc w:val="left"/>
        <w:rPr>
          <w:sz w:val="19"/>
        </w:rPr>
      </w:pPr>
      <w:r>
        <w:rPr>
          <w:color w:val="6E6158"/>
          <w:sz w:val="19"/>
        </w:rPr>
        <w:t>Speaker, “501(c)(3) Tax-Exempt Organizations: Do’s and Don’ts,” Kiwanis </w:t>
      </w:r>
      <w:r>
        <w:rPr>
          <w:color w:val="6E6158"/>
          <w:sz w:val="19"/>
        </w:rPr>
        <w:t>International Southwest District Mid-Year Conference, March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1701" w:firstLine="0"/>
        <w:jc w:val="left"/>
        <w:rPr>
          <w:sz w:val="19"/>
        </w:rPr>
      </w:pPr>
      <w:r>
        <w:rPr>
          <w:color w:val="6E6158"/>
          <w:sz w:val="19"/>
        </w:rPr>
        <w:t>Speaker, “Sales Tax Issues for Indian Country,” Arizona State University E-Commerce Conference, February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“Establishing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501(c)(3)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Organization,”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Institute,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“Arbitration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Talks,”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2017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Convention,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15,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sz w:val="19"/>
        </w:rPr>
      </w:pPr>
      <w:hyperlink r:id="rId14">
        <w:r>
          <w:rPr>
            <w:color w:val="FF8100"/>
            <w:sz w:val="19"/>
          </w:rPr>
          <w:t>Author,</w:t>
        </w:r>
        <w:r>
          <w:rPr>
            <w:color w:val="FF8100"/>
            <w:spacing w:val="5"/>
            <w:sz w:val="19"/>
          </w:rPr>
          <w:t> </w:t>
        </w:r>
        <w:r>
          <w:rPr>
            <w:color w:val="FF8100"/>
            <w:sz w:val="19"/>
          </w:rPr>
          <w:t>“10</w:t>
        </w:r>
        <w:r>
          <w:rPr>
            <w:color w:val="FF8100"/>
            <w:spacing w:val="6"/>
            <w:sz w:val="19"/>
          </w:rPr>
          <w:t> </w:t>
        </w:r>
        <w:r>
          <w:rPr>
            <w:color w:val="FF8100"/>
            <w:sz w:val="19"/>
          </w:rPr>
          <w:t>Tips</w:t>
        </w:r>
        <w:r>
          <w:rPr>
            <w:color w:val="FF8100"/>
            <w:spacing w:val="6"/>
            <w:sz w:val="19"/>
          </w:rPr>
          <w:t> </w:t>
        </w:r>
        <w:r>
          <w:rPr>
            <w:color w:val="FF8100"/>
            <w:sz w:val="19"/>
          </w:rPr>
          <w:t>for</w:t>
        </w:r>
        <w:r>
          <w:rPr>
            <w:color w:val="FF8100"/>
            <w:spacing w:val="6"/>
            <w:sz w:val="19"/>
          </w:rPr>
          <w:t> </w:t>
        </w:r>
        <w:r>
          <w:rPr>
            <w:color w:val="FF8100"/>
            <w:sz w:val="19"/>
          </w:rPr>
          <w:t>Effective</w:t>
        </w:r>
        <w:r>
          <w:rPr>
            <w:color w:val="FF8100"/>
            <w:spacing w:val="6"/>
            <w:sz w:val="19"/>
          </w:rPr>
          <w:t> </w:t>
        </w:r>
        <w:r>
          <w:rPr>
            <w:color w:val="FF8100"/>
            <w:sz w:val="19"/>
          </w:rPr>
          <w:t>Appellate</w:t>
        </w:r>
        <w:r>
          <w:rPr>
            <w:color w:val="FF8100"/>
            <w:spacing w:val="6"/>
            <w:sz w:val="19"/>
          </w:rPr>
          <w:t> </w:t>
        </w:r>
        <w:r>
          <w:rPr>
            <w:color w:val="FF8100"/>
            <w:sz w:val="19"/>
          </w:rPr>
          <w:t>Advocacy,”</w:t>
        </w:r>
      </w:hyperlink>
      <w:r>
        <w:rPr>
          <w:color w:val="FF8100"/>
          <w:spacing w:val="6"/>
          <w:sz w:val="19"/>
        </w:rPr>
        <w:t> </w:t>
      </w:r>
      <w:hyperlink r:id="rId14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3"/>
            <w:sz w:val="20"/>
          </w:rPr>
          <w:t> </w:t>
        </w:r>
        <w:r>
          <w:rPr>
            <w:i/>
            <w:color w:val="FF8100"/>
            <w:sz w:val="20"/>
          </w:rPr>
          <w:t>Attorney,</w:t>
        </w:r>
      </w:hyperlink>
      <w:r>
        <w:rPr>
          <w:i/>
          <w:color w:val="FF8100"/>
          <w:spacing w:val="3"/>
          <w:sz w:val="20"/>
        </w:rPr>
        <w:t> </w:t>
      </w:r>
      <w:hyperlink r:id="rId14">
        <w:r>
          <w:rPr>
            <w:color w:val="FF8100"/>
            <w:sz w:val="19"/>
          </w:rPr>
          <w:t>July/August</w:t>
        </w:r>
        <w:r>
          <w:rPr>
            <w:color w:val="FF8100"/>
            <w:spacing w:val="6"/>
            <w:sz w:val="19"/>
          </w:rPr>
          <w:t> </w:t>
        </w:r>
        <w:r>
          <w:rPr>
            <w:color w:val="FF8100"/>
            <w:spacing w:val="-4"/>
            <w:sz w:val="19"/>
          </w:rPr>
          <w:t>2016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“Arbitration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Myths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Realities,”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Convention,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622" w:firstLine="0"/>
        <w:jc w:val="left"/>
        <w:rPr>
          <w:sz w:val="19"/>
        </w:rPr>
      </w:pPr>
      <w:r>
        <w:rPr>
          <w:color w:val="6E6158"/>
          <w:sz w:val="19"/>
        </w:rPr>
        <w:t>Speaker, “Open Meeting Law” and “School Finance Issues,” Arizona Charter </w:t>
      </w:r>
      <w:r>
        <w:rPr>
          <w:color w:val="6E6158"/>
          <w:sz w:val="19"/>
        </w:rPr>
        <w:t>School Association, May 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83" w:firstLine="0"/>
        <w:jc w:val="left"/>
        <w:rPr>
          <w:sz w:val="19"/>
        </w:rPr>
      </w:pPr>
      <w:r>
        <w:rPr>
          <w:color w:val="6E6158"/>
          <w:sz w:val="19"/>
        </w:rPr>
        <w:t>Moderator, “Discovery Objections Under the New Federal Rules,” U.S. District Court </w:t>
      </w:r>
      <w:r>
        <w:rPr>
          <w:color w:val="6E6158"/>
          <w:sz w:val="19"/>
        </w:rPr>
        <w:t>Conference, March, 2016</w:t>
      </w:r>
    </w:p>
    <w:p>
      <w:pPr>
        <w:pStyle w:val="BodyText"/>
        <w:spacing w:before="12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Character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Fitness,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appointed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Vice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Circle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City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Task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Force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Rules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Regulation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Research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Director,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Ronald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McDonald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House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Charities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Arbitrator,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Arbitrator,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Financial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Industry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Authority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Kiwanis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8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Advisor,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Southwest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Kiwanis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Foundation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3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Lieutenant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Governor,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Kiwanis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Southwest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District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Capitol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Gateway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Kiwanis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Club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Camelback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Kiwanis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4"/>
          <w:sz w:val="19"/>
        </w:rPr>
        <w:t>Club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Adjunct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Faculty,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Indian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2006-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Representative,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Circuit,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Practice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Procedure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Alternative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Resolution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Selection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Board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Tribal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Tribal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Advocacy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Program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Adjunct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Faculty,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1992-2001;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Museum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History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irvine@fennemorelaw.com" TargetMode="External"/><Relationship Id="rId11" Type="http://schemas.openxmlformats.org/officeDocument/2006/relationships/hyperlink" Target="https://www.fennemorelaw.com/insights/newsletters/2020/the-cares-act-new-tax-provisions-for-charitable-deductions" TargetMode="External"/><Relationship Id="rId12" Type="http://schemas.openxmlformats.org/officeDocument/2006/relationships/hyperlink" Target="https://www.fennemorelaw.com/insights/newsletters/2019/model-city-tax-code-gets-proposed-edits" TargetMode="External"/><Relationship Id="rId13" Type="http://schemas.openxmlformats.org/officeDocument/2006/relationships/hyperlink" Target="https://soundcloud.com/talkingstick/ilp-talking-stick-tribal-tax-jurisdiction-remote-sales" TargetMode="External"/><Relationship Id="rId14" Type="http://schemas.openxmlformats.org/officeDocument/2006/relationships/hyperlink" Target="http://www.azattorneymag-digital.com/azattorneymag/20160708/?pg=15&amp;pg15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Irvine - Fennemore</dc:title>
  <dcterms:created xsi:type="dcterms:W3CDTF">2026-06-05T14:20:57Z</dcterms:created>
  <dcterms:modified xsi:type="dcterms:W3CDTF">2026-06-05T14:20:57Z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