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Hutt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HUTTON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phutton@fennemorelaw.com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aul Hutto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HUTTON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phutton@fennemorelaw.com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HUTTON</w:t>
      </w:r>
    </w:p>
    <w:p>
      <w:pPr>
        <w:pStyle w:val="BodyText"/>
        <w:spacing w:line="302" w:lineRule="auto" w:before="147"/>
        <w:ind w:left="99" w:right="744"/>
      </w:pPr>
      <w:r>
        <w:rPr>
          <w:color w:val="6E6158"/>
        </w:rPr>
        <w:t>Paul Hutton is an associate in Fennemore’s Business Litigation practice group. He </w:t>
      </w:r>
      <w:r>
        <w:rPr>
          <w:color w:val="6E6158"/>
        </w:rPr>
        <w:t>assists businesses in complex litigation matters.</w:t>
      </w:r>
    </w:p>
    <w:p>
      <w:pPr>
        <w:pStyle w:val="BodyText"/>
        <w:spacing w:line="295" w:lineRule="auto" w:before="186"/>
        <w:ind w:left="99" w:right="744"/>
        <w:rPr>
          <w:b/>
        </w:rPr>
      </w:pPr>
      <w:r>
        <w:rPr>
          <w:color w:val="6E6158"/>
        </w:rPr>
        <w:t>Prior to joining the firm, Paul was an associate attorney at an Am Law 200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gained valuable experience assisting clients with sophisticated civil and litigation matters</w:t>
      </w:r>
      <w:r>
        <w:rPr>
          <w:color w:val="6E6158"/>
          <w:spacing w:val="80"/>
        </w:rPr>
        <w:t> </w:t>
      </w:r>
      <w:r>
        <w:rPr>
          <w:color w:val="6E6158"/>
        </w:rPr>
        <w:t>involving intricate state and federal law. He also served as a judicial clerk for the Honorable</w:t>
      </w:r>
      <w:r>
        <w:rPr>
          <w:color w:val="6E6158"/>
          <w:spacing w:val="40"/>
        </w:rPr>
        <w:t> </w:t>
      </w:r>
      <w:r>
        <w:rPr>
          <w:color w:val="6E6158"/>
        </w:rPr>
        <w:t>James B. Morse, and interned for the Honorable Kathleen L. DeSoto, U.S. Army Judge Advocate</w:t>
      </w:r>
      <w:r>
        <w:rPr>
          <w:color w:val="6E6158"/>
          <w:spacing w:val="40"/>
        </w:rPr>
        <w:t> </w:t>
      </w:r>
      <w:r>
        <w:rPr>
          <w:color w:val="6E6158"/>
        </w:rPr>
        <w:t>General Corps, and the Honorable James O. Browning</w:t>
      </w:r>
      <w:r>
        <w:rPr>
          <w:b/>
          <w:color w:val="6E6158"/>
        </w:rPr>
        <w:t>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Montana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Alexander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Blewett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III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48" w:after="0"/>
        <w:ind w:left="461" w:right="0" w:hanging="118"/>
        <w:jc w:val="left"/>
        <w:rPr>
          <w:i/>
          <w:sz w:val="20"/>
        </w:rPr>
      </w:pPr>
      <w:r>
        <w:rPr>
          <w:i/>
          <w:color w:val="6E6158"/>
          <w:spacing w:val="-4"/>
          <w:sz w:val="20"/>
        </w:rPr>
        <w:t>Dean’s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pacing w:val="-4"/>
          <w:sz w:val="20"/>
        </w:rPr>
        <w:t>Award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4"/>
          <w:sz w:val="20"/>
        </w:rPr>
        <w:t>for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4"/>
          <w:sz w:val="20"/>
        </w:rPr>
        <w:t>Exceptional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4"/>
          <w:sz w:val="20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61" w:after="0"/>
        <w:ind w:left="461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Student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Bar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Association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President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162" w:after="0"/>
        <w:ind w:left="461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Public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Lands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Resource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Editor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0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Montana,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Artificial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Intelligence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(AI)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Consulting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Mexico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Montana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-"/>
      <w:lvlJc w:val="left"/>
      <w:pPr>
        <w:ind w:left="462" w:hanging="120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7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46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2" w:hanging="1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hutt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Hutton - Fennemore</dc:title>
  <dcterms:created xsi:type="dcterms:W3CDTF">2026-06-05T12:43:55Z</dcterms:created>
  <dcterms:modified xsi:type="dcterms:W3CDTF">2026-06-05T12:43:55Z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