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2"/>
        </w:rPr>
      </w:pPr>
    </w:p>
    <w:p>
      <w:pPr>
        <w:pStyle w:val="BodyText"/>
        <w:spacing w:before="274"/>
        <w:rPr>
          <w:rFonts w:ascii="Times New Roman"/>
          <w:sz w:val="4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9952">
                <wp:simplePos x="0" y="0"/>
                <wp:positionH relativeFrom="page">
                  <wp:posOffset>848486</wp:posOffset>
                </wp:positionH>
                <wp:positionV relativeFrom="paragraph">
                  <wp:posOffset>-790522</wp:posOffset>
                </wp:positionV>
                <wp:extent cx="6071870" cy="45472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47235"/>
                          <a:chExt cx="6071870" cy="45472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1809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809114">
                                <a:moveTo>
                                  <a:pt x="6071591" y="1808559"/>
                                </a:moveTo>
                                <a:lnTo>
                                  <a:pt x="0" y="1808559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808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2.245899pt;width:478.1pt;height:358.05pt;mso-position-horizontal-relative:page;mso-position-vertical-relative:paragraph;z-index:-15766528" id="docshapegroup1" coordorigin="1336,-1245" coordsize="9562,7161">
                <v:rect style="position:absolute;left:1336;top:3067;width:9562;height:2849" id="docshape2" filled="true" fillcolor="#002e6d" stroked="false">
                  <v:fill type="solid"/>
                </v:rect>
                <v:shape style="position:absolute;left:1336;top:-1245;width:2165;height:424" type="#_x0000_t75" id="docshape3" alt="Fennemore" href="https://www.fennemorelaw.com/" stroked="false">
                  <v:imagedata r:id="rId5" o:title=""/>
                </v:shape>
                <v:shape style="position:absolute;left:1336;top:-822;width:9562;height:3890" type="#_x0000_t75" id="docshape4" stroked="false">
                  <v:imagedata r:id="rId7" o:title=""/>
                </v:shape>
                <v:rect style="position:absolute;left:1336;top:-822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Privacy and Data </w:t>
      </w:r>
      <w:r>
        <w:rPr>
          <w:color w:val="FFFFFF"/>
          <w:spacing w:val="-2"/>
        </w:rPr>
        <w:t>Security</w:t>
      </w:r>
    </w:p>
    <w:p>
      <w:pPr>
        <w:pStyle w:val="BodyText"/>
        <w:spacing w:before="90"/>
        <w:rPr>
          <w:b/>
          <w:sz w:val="42"/>
        </w:rPr>
      </w:pPr>
    </w:p>
    <w:p>
      <w:pPr>
        <w:spacing w:line="244" w:lineRule="auto" w:before="0"/>
        <w:ind w:left="489" w:right="493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Our privacy and data security practice addresses the administrative, regulatory</w:t>
      </w:r>
      <w:r>
        <w:rPr>
          <w:color w:val="FFFFFF"/>
          <w:spacing w:val="-8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8"/>
          <w:w w:val="105"/>
          <w:sz w:val="22"/>
        </w:rPr>
        <w:t> </w:t>
      </w:r>
      <w:r>
        <w:rPr>
          <w:color w:val="FFFFFF"/>
          <w:w w:val="105"/>
          <w:sz w:val="22"/>
        </w:rPr>
        <w:t>litigation</w:t>
      </w:r>
      <w:r>
        <w:rPr>
          <w:color w:val="FFFFFF"/>
          <w:spacing w:val="-8"/>
          <w:w w:val="105"/>
          <w:sz w:val="22"/>
        </w:rPr>
        <w:t> </w:t>
      </w:r>
      <w:r>
        <w:rPr>
          <w:color w:val="FFFFFF"/>
          <w:w w:val="105"/>
          <w:sz w:val="22"/>
        </w:rPr>
        <w:t>concerns</w:t>
      </w:r>
      <w:r>
        <w:rPr>
          <w:color w:val="FFFFFF"/>
          <w:spacing w:val="-8"/>
          <w:w w:val="105"/>
          <w:sz w:val="22"/>
        </w:rPr>
        <w:t> </w:t>
      </w:r>
      <w:r>
        <w:rPr>
          <w:color w:val="FFFFFF"/>
          <w:w w:val="105"/>
          <w:sz w:val="22"/>
        </w:rPr>
        <w:t>of</w:t>
      </w:r>
      <w:r>
        <w:rPr>
          <w:color w:val="FFFFFF"/>
          <w:spacing w:val="-8"/>
          <w:w w:val="105"/>
          <w:sz w:val="22"/>
        </w:rPr>
        <w:t> </w:t>
      </w:r>
      <w:r>
        <w:rPr>
          <w:color w:val="FFFFFF"/>
          <w:w w:val="105"/>
          <w:sz w:val="22"/>
        </w:rPr>
        <w:t>businesses</w:t>
      </w:r>
      <w:r>
        <w:rPr>
          <w:color w:val="FFFFFF"/>
          <w:spacing w:val="-8"/>
          <w:w w:val="105"/>
          <w:sz w:val="22"/>
        </w:rPr>
        <w:t> </w:t>
      </w:r>
      <w:r>
        <w:rPr>
          <w:color w:val="FFFFFF"/>
          <w:w w:val="105"/>
          <w:sz w:val="22"/>
        </w:rPr>
        <w:t>facing</w:t>
      </w:r>
      <w:r>
        <w:rPr>
          <w:color w:val="FFFFFF"/>
          <w:spacing w:val="-8"/>
          <w:w w:val="105"/>
          <w:sz w:val="22"/>
        </w:rPr>
        <w:t> </w:t>
      </w:r>
      <w:r>
        <w:rPr>
          <w:color w:val="FFFFFF"/>
          <w:w w:val="105"/>
          <w:sz w:val="22"/>
        </w:rPr>
        <w:t>mounting</w:t>
      </w:r>
      <w:r>
        <w:rPr>
          <w:color w:val="FFFFFF"/>
          <w:spacing w:val="-8"/>
          <w:w w:val="105"/>
          <w:sz w:val="22"/>
        </w:rPr>
        <w:t> </w:t>
      </w:r>
      <w:r>
        <w:rPr>
          <w:color w:val="FFFFFF"/>
          <w:w w:val="105"/>
          <w:sz w:val="22"/>
        </w:rPr>
        <w:t>threats and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increasing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state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federal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regulation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in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the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areas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of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data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privacy, data breach and cybersecurity.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0"/>
        <w:rPr>
          <w:sz w:val="22"/>
        </w:rPr>
      </w:pPr>
    </w:p>
    <w:p>
      <w:pPr>
        <w:spacing w:line="348" w:lineRule="auto" w:before="0"/>
        <w:ind w:left="997" w:right="996" w:firstLine="0"/>
        <w:jc w:val="center"/>
        <w:rPr>
          <w:sz w:val="16"/>
        </w:rPr>
      </w:pPr>
      <w:r>
        <w:rPr>
          <w:color w:val="FFFFFF"/>
          <w:spacing w:val="-2"/>
          <w:sz w:val="16"/>
        </w:rPr>
        <w:t>Our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privacy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data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security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practice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focuses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prevention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risk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counseling,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data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breach </w:t>
      </w:r>
      <w:r>
        <w:rPr>
          <w:color w:val="FFFFFF"/>
          <w:spacing w:val="-4"/>
          <w:sz w:val="16"/>
        </w:rPr>
        <w:t>prevention,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cybersecurity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incident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investigation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response,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regulatory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compliance,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privacy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 </w:t>
      </w:r>
      <w:r>
        <w:rPr>
          <w:color w:val="FFFFFF"/>
          <w:spacing w:val="-2"/>
          <w:sz w:val="16"/>
        </w:rPr>
        <w:t>data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security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policies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training,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related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litigation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dispute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resolution.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Should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data breach,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government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investigation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or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litigation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occur,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our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attorneys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are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prepared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work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with clients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navigate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complex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regulatory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landscape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today’s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digital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in-person</w:t>
      </w:r>
      <w:r>
        <w:rPr>
          <w:color w:val="FFFFFF"/>
          <w:spacing w:val="-2"/>
          <w:sz w:val="16"/>
        </w:rPr>
        <w:t> environment.</w:t>
      </w:r>
    </w:p>
    <w:p>
      <w:pPr>
        <w:pStyle w:val="BodyText"/>
        <w:rPr>
          <w:sz w:val="24"/>
        </w:rPr>
      </w:pPr>
    </w:p>
    <w:p>
      <w:pPr>
        <w:pStyle w:val="BodyText"/>
        <w:spacing w:before="253"/>
        <w:rPr>
          <w:sz w:val="24"/>
        </w:rPr>
      </w:pPr>
    </w:p>
    <w:p>
      <w:pPr>
        <w:pStyle w:val="Heading2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292" w:lineRule="auto" w:before="147"/>
        <w:ind w:left="99"/>
      </w:pPr>
      <w:r>
        <w:rPr>
          <w:color w:val="6E6158"/>
        </w:rPr>
        <w:t>We regularly work with clients who are doing business in person and online. Whether the need is</w:t>
      </w:r>
      <w:r>
        <w:rPr>
          <w:color w:val="6E6158"/>
          <w:spacing w:val="40"/>
        </w:rPr>
        <w:t> </w:t>
      </w:r>
      <w:r>
        <w:rPr>
          <w:color w:val="6E6158"/>
        </w:rPr>
        <w:t>developing</w:t>
      </w:r>
      <w:r>
        <w:rPr>
          <w:color w:val="6E6158"/>
          <w:spacing w:val="35"/>
        </w:rPr>
        <w:t> </w:t>
      </w:r>
      <w:r>
        <w:rPr>
          <w:color w:val="6E6158"/>
        </w:rPr>
        <w:t>compliant</w:t>
      </w:r>
      <w:r>
        <w:rPr>
          <w:color w:val="6E6158"/>
          <w:spacing w:val="35"/>
        </w:rPr>
        <w:t> </w:t>
      </w:r>
      <w:r>
        <w:rPr>
          <w:color w:val="6E6158"/>
        </w:rPr>
        <w:t>privacy</w:t>
      </w:r>
      <w:r>
        <w:rPr>
          <w:color w:val="6E6158"/>
          <w:spacing w:val="35"/>
        </w:rPr>
        <w:t> </w:t>
      </w:r>
      <w:r>
        <w:rPr>
          <w:color w:val="6E6158"/>
        </w:rPr>
        <w:t>policies</w:t>
      </w:r>
      <w:r>
        <w:rPr>
          <w:color w:val="6E6158"/>
          <w:spacing w:val="35"/>
        </w:rPr>
        <w:t> </w:t>
      </w:r>
      <w:r>
        <w:rPr>
          <w:color w:val="6E6158"/>
        </w:rPr>
        <w:t>or</w:t>
      </w:r>
      <w:r>
        <w:rPr>
          <w:color w:val="6E6158"/>
          <w:spacing w:val="35"/>
        </w:rPr>
        <w:t> </w:t>
      </w:r>
      <w:r>
        <w:rPr>
          <w:color w:val="6E6158"/>
        </w:rPr>
        <w:t>internal</w:t>
      </w:r>
      <w:r>
        <w:rPr>
          <w:color w:val="6E6158"/>
          <w:spacing w:val="35"/>
        </w:rPr>
        <w:t> </w:t>
      </w:r>
      <w:r>
        <w:rPr>
          <w:color w:val="6E6158"/>
        </w:rPr>
        <w:t>processes,</w:t>
      </w:r>
      <w:r>
        <w:rPr>
          <w:color w:val="6E6158"/>
          <w:spacing w:val="35"/>
        </w:rPr>
        <w:t> </w:t>
      </w:r>
      <w:r>
        <w:rPr>
          <w:color w:val="6E6158"/>
        </w:rPr>
        <w:t>responding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privacy</w:t>
      </w:r>
      <w:r>
        <w:rPr>
          <w:color w:val="6E6158"/>
          <w:spacing w:val="35"/>
        </w:rPr>
        <w:t> </w:t>
      </w:r>
      <w:r>
        <w:rPr>
          <w:color w:val="6E6158"/>
        </w:rPr>
        <w:t>breach</w:t>
      </w:r>
    </w:p>
    <w:p>
      <w:pPr>
        <w:pStyle w:val="BodyText"/>
        <w:spacing w:line="295" w:lineRule="auto" w:before="9"/>
        <w:ind w:left="99" w:right="174"/>
      </w:pPr>
      <w:r>
        <w:rPr>
          <w:color w:val="6E6158"/>
        </w:rPr>
        <w:t>incident or responding to a cease and desist demand involving breach incident, our team </w:t>
      </w:r>
      <w:r>
        <w:rPr>
          <w:color w:val="6E6158"/>
        </w:rPr>
        <w:t>will</w:t>
      </w:r>
      <w:r>
        <w:rPr>
          <w:color w:val="6E6158"/>
          <w:spacing w:val="40"/>
        </w:rPr>
        <w:t> </w:t>
      </w:r>
      <w:r>
        <w:rPr>
          <w:color w:val="6E6158"/>
        </w:rPr>
        <w:t>provide a valuable, cost-effective solution. The attorneys in this group work closely with clients</w:t>
      </w:r>
      <w:r>
        <w:rPr>
          <w:color w:val="6E6158"/>
          <w:spacing w:val="40"/>
        </w:rPr>
        <w:t> </w:t>
      </w:r>
      <w:r>
        <w:rPr>
          <w:color w:val="6E6158"/>
        </w:rPr>
        <w:t>facing the uncertainties created by the rapidly evolving law regarding consumer privacy. We</w:t>
      </w:r>
      <w:r>
        <w:rPr>
          <w:color w:val="6E6158"/>
          <w:spacing w:val="40"/>
        </w:rPr>
        <w:t> </w:t>
      </w:r>
      <w:r>
        <w:rPr>
          <w:color w:val="6E6158"/>
        </w:rPr>
        <w:t>routinely</w:t>
      </w:r>
      <w:r>
        <w:rPr>
          <w:color w:val="6E6158"/>
          <w:spacing w:val="34"/>
        </w:rPr>
        <w:t> </w:t>
      </w:r>
      <w:r>
        <w:rPr>
          <w:color w:val="6E6158"/>
        </w:rPr>
        <w:t>prepare</w:t>
      </w:r>
      <w:r>
        <w:rPr>
          <w:color w:val="6E6158"/>
          <w:spacing w:val="34"/>
        </w:rPr>
        <w:t> </w:t>
      </w:r>
      <w:r>
        <w:rPr>
          <w:color w:val="6E6158"/>
        </w:rPr>
        <w:t>privacy</w:t>
      </w:r>
      <w:r>
        <w:rPr>
          <w:color w:val="6E6158"/>
          <w:spacing w:val="34"/>
        </w:rPr>
        <w:t> </w:t>
      </w:r>
      <w:r>
        <w:rPr>
          <w:color w:val="6E6158"/>
        </w:rPr>
        <w:t>policies,</w:t>
      </w:r>
      <w:r>
        <w:rPr>
          <w:color w:val="6E6158"/>
          <w:spacing w:val="34"/>
        </w:rPr>
        <w:t> </w:t>
      </w:r>
      <w:r>
        <w:rPr>
          <w:color w:val="6E6158"/>
        </w:rPr>
        <w:t>data</w:t>
      </w:r>
      <w:r>
        <w:rPr>
          <w:color w:val="6E6158"/>
          <w:spacing w:val="34"/>
        </w:rPr>
        <w:t> </w:t>
      </w:r>
      <w:r>
        <w:rPr>
          <w:color w:val="6E6158"/>
        </w:rPr>
        <w:t>processing</w:t>
      </w:r>
      <w:r>
        <w:rPr>
          <w:color w:val="6E6158"/>
          <w:spacing w:val="34"/>
        </w:rPr>
        <w:t> </w:t>
      </w:r>
      <w:r>
        <w:rPr>
          <w:color w:val="6E6158"/>
        </w:rPr>
        <w:t>agreement,</w:t>
      </w:r>
      <w:r>
        <w:rPr>
          <w:color w:val="6E6158"/>
          <w:spacing w:val="34"/>
        </w:rPr>
        <w:t> </w:t>
      </w:r>
      <w:r>
        <w:rPr>
          <w:color w:val="6E6158"/>
        </w:rPr>
        <w:t>terms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use,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other</w:t>
      </w:r>
    </w:p>
    <w:p>
      <w:pPr>
        <w:pStyle w:val="BodyText"/>
        <w:spacing w:line="292" w:lineRule="auto" w:before="1"/>
        <w:ind w:left="99" w:right="174"/>
      </w:pPr>
      <w:r>
        <w:rPr>
          <w:color w:val="6E6158"/>
        </w:rPr>
        <w:t>agreements. We can also assist clients engaged in the business of online marketing and advertising, such as holding online sweepstakes and contests.</w:t>
      </w:r>
    </w:p>
    <w:p>
      <w:pPr>
        <w:pStyle w:val="BodyText"/>
        <w:spacing w:before="197"/>
        <w:ind w:left="99"/>
      </w:pPr>
      <w:r>
        <w:rPr>
          <w:color w:val="6E6158"/>
        </w:rPr>
        <w:t>We</w:t>
      </w:r>
      <w:r>
        <w:rPr>
          <w:color w:val="6E6158"/>
          <w:spacing w:val="4"/>
        </w:rPr>
        <w:t> </w:t>
      </w:r>
      <w:r>
        <w:rPr>
          <w:color w:val="6E6158"/>
        </w:rPr>
        <w:t>work</w:t>
      </w:r>
      <w:r>
        <w:rPr>
          <w:color w:val="6E6158"/>
          <w:spacing w:val="4"/>
        </w:rPr>
        <w:t> </w:t>
      </w:r>
      <w:r>
        <w:rPr>
          <w:color w:val="6E6158"/>
        </w:rPr>
        <w:t>for</w:t>
      </w:r>
      <w:r>
        <w:rPr>
          <w:color w:val="6E6158"/>
          <w:spacing w:val="4"/>
        </w:rPr>
        <w:t> </w:t>
      </w:r>
      <w:r>
        <w:rPr>
          <w:color w:val="6E6158"/>
          <w:spacing w:val="-4"/>
        </w:rPr>
        <w:t>you.</w:t>
      </w:r>
    </w:p>
    <w:p>
      <w:pPr>
        <w:pStyle w:val="BodyText"/>
        <w:spacing w:before="22"/>
      </w:pPr>
    </w:p>
    <w:p>
      <w:pPr>
        <w:pStyle w:val="BodyText"/>
        <w:spacing w:line="292" w:lineRule="auto"/>
        <w:ind w:left="99" w:right="154"/>
      </w:pPr>
      <w:r>
        <w:rPr>
          <w:color w:val="6E6158"/>
        </w:rPr>
        <w:t>In the constantly changing consumer privacy landscape, we put our experienced attorneys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work on behalf of your evolving business.</w:t>
      </w:r>
    </w:p>
    <w:p>
      <w:pPr>
        <w:pStyle w:val="BodyText"/>
        <w:spacing w:before="197"/>
        <w:ind w:left="99"/>
      </w:pPr>
      <w:r>
        <w:rPr>
          <w:color w:val="6E6158"/>
        </w:rPr>
        <w:t>We</w:t>
      </w:r>
      <w:r>
        <w:rPr>
          <w:color w:val="6E6158"/>
          <w:spacing w:val="11"/>
        </w:rPr>
        <w:t> </w:t>
      </w:r>
      <w:r>
        <w:rPr>
          <w:color w:val="6E6158"/>
        </w:rPr>
        <w:t>provide</w:t>
      </w:r>
      <w:r>
        <w:rPr>
          <w:color w:val="6E6158"/>
          <w:spacing w:val="11"/>
        </w:rPr>
        <w:t> </w:t>
      </w:r>
      <w:r>
        <w:rPr>
          <w:color w:val="6E6158"/>
        </w:rPr>
        <w:t>counsel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representation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following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areas: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0" w:after="0"/>
        <w:ind w:left="99" w:right="388" w:firstLine="0"/>
        <w:jc w:val="left"/>
        <w:rPr>
          <w:sz w:val="19"/>
        </w:rPr>
      </w:pPr>
      <w:r>
        <w:rPr>
          <w:color w:val="6E6158"/>
          <w:sz w:val="19"/>
        </w:rPr>
        <w:t>Privacy statutes, rules and regulations, including the California Consumer Privacy Act </w:t>
      </w:r>
      <w:r>
        <w:rPr>
          <w:color w:val="6E6158"/>
          <w:sz w:val="19"/>
        </w:rPr>
        <w:t>(CCPA) and</w:t>
      </w:r>
      <w:r>
        <w:rPr>
          <w:color w:val="6E6158"/>
          <w:spacing w:val="29"/>
          <w:sz w:val="19"/>
        </w:rPr>
        <w:t> </w:t>
      </w:r>
      <w:r>
        <w:rPr>
          <w:color w:val="6E6158"/>
          <w:sz w:val="19"/>
        </w:rPr>
        <w:t>other</w:t>
      </w:r>
      <w:r>
        <w:rPr>
          <w:color w:val="6E6158"/>
          <w:spacing w:val="29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29"/>
          <w:sz w:val="19"/>
        </w:rPr>
        <w:t> </w:t>
      </w:r>
      <w:r>
        <w:rPr>
          <w:color w:val="6E6158"/>
          <w:sz w:val="19"/>
        </w:rPr>
        <w:t>consumer</w:t>
      </w:r>
      <w:r>
        <w:rPr>
          <w:color w:val="6E6158"/>
          <w:spacing w:val="29"/>
          <w:sz w:val="19"/>
        </w:rPr>
        <w:t> </w:t>
      </w:r>
      <w:r>
        <w:rPr>
          <w:color w:val="6E6158"/>
          <w:sz w:val="19"/>
        </w:rPr>
        <w:t>privacy</w:t>
      </w:r>
      <w:r>
        <w:rPr>
          <w:color w:val="6E6158"/>
          <w:spacing w:val="29"/>
          <w:sz w:val="19"/>
        </w:rPr>
        <w:t> </w:t>
      </w:r>
      <w:r>
        <w:rPr>
          <w:color w:val="6E6158"/>
          <w:sz w:val="19"/>
        </w:rPr>
        <w:t>laws,</w:t>
      </w:r>
      <w:r>
        <w:rPr>
          <w:color w:val="6E6158"/>
          <w:spacing w:val="29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9"/>
          <w:sz w:val="19"/>
        </w:rPr>
        <w:t> </w:t>
      </w:r>
      <w:r>
        <w:rPr>
          <w:color w:val="6E6158"/>
          <w:sz w:val="19"/>
        </w:rPr>
        <w:t>Americans</w:t>
      </w:r>
      <w:r>
        <w:rPr>
          <w:color w:val="6E6158"/>
          <w:spacing w:val="29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29"/>
          <w:sz w:val="19"/>
        </w:rPr>
        <w:t> </w:t>
      </w:r>
      <w:r>
        <w:rPr>
          <w:color w:val="6E6158"/>
          <w:sz w:val="19"/>
        </w:rPr>
        <w:t>Disabilities</w:t>
      </w:r>
      <w:r>
        <w:rPr>
          <w:color w:val="6E6158"/>
          <w:spacing w:val="29"/>
          <w:sz w:val="19"/>
        </w:rPr>
        <w:t> </w:t>
      </w:r>
      <w:r>
        <w:rPr>
          <w:color w:val="6E6158"/>
          <w:sz w:val="19"/>
        </w:rPr>
        <w:t>Act</w:t>
      </w:r>
      <w:r>
        <w:rPr>
          <w:color w:val="6E6158"/>
          <w:spacing w:val="29"/>
          <w:sz w:val="19"/>
        </w:rPr>
        <w:t> </w:t>
      </w:r>
      <w:r>
        <w:rPr>
          <w:color w:val="6E6158"/>
          <w:sz w:val="19"/>
        </w:rPr>
        <w:t>Amendments</w:t>
      </w:r>
      <w:r>
        <w:rPr>
          <w:color w:val="6E6158"/>
          <w:spacing w:val="29"/>
          <w:sz w:val="19"/>
        </w:rPr>
        <w:t> </w:t>
      </w:r>
      <w:r>
        <w:rPr>
          <w:color w:val="6E6158"/>
          <w:sz w:val="19"/>
        </w:rPr>
        <w:t>Act</w:t>
      </w:r>
    </w:p>
    <w:p>
      <w:pPr>
        <w:pStyle w:val="BodyText"/>
        <w:spacing w:line="295" w:lineRule="auto"/>
        <w:ind w:left="99" w:right="174"/>
      </w:pPr>
      <w:r>
        <w:rPr>
          <w:color w:val="6E6158"/>
        </w:rPr>
        <w:t>(ADAAA), California Online Privacy Protection Act, CAN-SPAM Act, Children’s Online Privacy</w:t>
      </w:r>
      <w:r>
        <w:rPr>
          <w:color w:val="6E6158"/>
          <w:spacing w:val="40"/>
        </w:rPr>
        <w:t> </w:t>
      </w:r>
      <w:r>
        <w:rPr>
          <w:color w:val="6E6158"/>
        </w:rPr>
        <w:t>Protection</w:t>
      </w:r>
      <w:r>
        <w:rPr>
          <w:color w:val="6E6158"/>
          <w:spacing w:val="29"/>
        </w:rPr>
        <w:t> </w:t>
      </w:r>
      <w:r>
        <w:rPr>
          <w:color w:val="6E6158"/>
        </w:rPr>
        <w:t>Act</w:t>
      </w:r>
      <w:r>
        <w:rPr>
          <w:color w:val="6E6158"/>
          <w:spacing w:val="29"/>
        </w:rPr>
        <w:t> </w:t>
      </w:r>
      <w:r>
        <w:rPr>
          <w:color w:val="6E6158"/>
        </w:rPr>
        <w:t>(COPPA),</w:t>
      </w:r>
      <w:r>
        <w:rPr>
          <w:color w:val="6E6158"/>
          <w:spacing w:val="29"/>
        </w:rPr>
        <w:t> </w:t>
      </w:r>
      <w:r>
        <w:rPr>
          <w:color w:val="6E6158"/>
        </w:rPr>
        <w:t>Fair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Accurate</w:t>
      </w:r>
      <w:r>
        <w:rPr>
          <w:color w:val="6E6158"/>
          <w:spacing w:val="29"/>
        </w:rPr>
        <w:t> </w:t>
      </w:r>
      <w:r>
        <w:rPr>
          <w:color w:val="6E6158"/>
        </w:rPr>
        <w:t>Credit</w:t>
      </w:r>
      <w:r>
        <w:rPr>
          <w:color w:val="6E6158"/>
          <w:spacing w:val="29"/>
        </w:rPr>
        <w:t> </w:t>
      </w:r>
      <w:r>
        <w:rPr>
          <w:color w:val="6E6158"/>
        </w:rPr>
        <w:t>Transactions</w:t>
      </w:r>
      <w:r>
        <w:rPr>
          <w:color w:val="6E6158"/>
          <w:spacing w:val="29"/>
        </w:rPr>
        <w:t> </w:t>
      </w:r>
      <w:r>
        <w:rPr>
          <w:color w:val="6E6158"/>
        </w:rPr>
        <w:t>Act</w:t>
      </w:r>
      <w:r>
        <w:rPr>
          <w:color w:val="6E6158"/>
          <w:spacing w:val="29"/>
        </w:rPr>
        <w:t> </w:t>
      </w:r>
      <w:r>
        <w:rPr>
          <w:color w:val="6E6158"/>
        </w:rPr>
        <w:t>(FACTA),</w:t>
      </w:r>
      <w:r>
        <w:rPr>
          <w:color w:val="6E6158"/>
          <w:spacing w:val="29"/>
        </w:rPr>
        <w:t> </w:t>
      </w:r>
      <w:r>
        <w:rPr>
          <w:color w:val="6E6158"/>
        </w:rPr>
        <w:t>Fair</w:t>
      </w:r>
      <w:r>
        <w:rPr>
          <w:color w:val="6E6158"/>
          <w:spacing w:val="29"/>
        </w:rPr>
        <w:t> </w:t>
      </w:r>
      <w:r>
        <w:rPr>
          <w:color w:val="6E6158"/>
        </w:rPr>
        <w:t>Credit Reporting Act (FCRA), Federal Identity Theft Assumption and Deterrence Act (ITADA), Genetic</w:t>
      </w:r>
      <w:r>
        <w:rPr>
          <w:color w:val="6E6158"/>
          <w:spacing w:val="40"/>
        </w:rPr>
        <w:t> </w:t>
      </w:r>
      <w:r>
        <w:rPr>
          <w:color w:val="6E6158"/>
        </w:rPr>
        <w:t>Information Nondiscrimination Act (GINA), Electronic Communication and Privacy Act (ECPA),</w:t>
      </w:r>
      <w:r>
        <w:rPr>
          <w:color w:val="6E6158"/>
          <w:spacing w:val="40"/>
        </w:rPr>
        <w:t> </w:t>
      </w:r>
      <w:r>
        <w:rPr>
          <w:color w:val="6E6158"/>
        </w:rPr>
        <w:t>Payment Card Industry Data Security Standards (PCI DSS and PA-DSS) and Telephone Consumer Protection Act (TCPA)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83" w:after="0"/>
        <w:ind w:left="99" w:right="973" w:firstLine="0"/>
        <w:jc w:val="left"/>
        <w:rPr>
          <w:sz w:val="19"/>
        </w:rPr>
      </w:pPr>
      <w:r>
        <w:rPr>
          <w:color w:val="6E6158"/>
          <w:sz w:val="19"/>
        </w:rPr>
        <w:t>Health care regulations and reporting, including the Health Information Technology for Economic and Clinical Health Act (HITECH) and the Health Insurance Portability and Accountability Act (HIPAA)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8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Document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retention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requirements,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information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sharing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information</w:t>
      </w:r>
      <w:r>
        <w:rPr>
          <w:color w:val="6E6158"/>
          <w:spacing w:val="19"/>
          <w:sz w:val="19"/>
        </w:rPr>
        <w:t> </w:t>
      </w:r>
      <w:r>
        <w:rPr>
          <w:color w:val="6E6158"/>
          <w:spacing w:val="-2"/>
          <w:sz w:val="19"/>
        </w:rPr>
        <w:t>disclosure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395" w:firstLine="0"/>
        <w:jc w:val="left"/>
        <w:rPr>
          <w:sz w:val="19"/>
        </w:rPr>
      </w:pPr>
      <w:r>
        <w:rPr>
          <w:color w:val="6E6158"/>
          <w:sz w:val="19"/>
        </w:rPr>
        <w:t>Management and employee training regarding data security and privacy requirements and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development of applicable policies and procedures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Internal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investigations,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permissible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monitoring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employees,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background</w:t>
      </w:r>
      <w:r>
        <w:rPr>
          <w:color w:val="6E6158"/>
          <w:spacing w:val="19"/>
          <w:sz w:val="19"/>
        </w:rPr>
        <w:t> </w:t>
      </w:r>
      <w:r>
        <w:rPr>
          <w:color w:val="6E6158"/>
          <w:spacing w:val="-2"/>
          <w:sz w:val="19"/>
        </w:rPr>
        <w:t>checks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Government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investigations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(preparation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2"/>
          <w:sz w:val="19"/>
        </w:rPr>
        <w:t> </w:t>
      </w:r>
      <w:r>
        <w:rPr>
          <w:color w:val="6E6158"/>
          <w:spacing w:val="-2"/>
          <w:sz w:val="19"/>
        </w:rPr>
        <w:t>response)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Litigation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related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privacy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data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security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incidents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or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breaches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Online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copyright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ISP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safe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harbors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under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Digital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Millennium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Copyright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Act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(DMCA)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Contract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negotiation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involving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data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security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privacy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matters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3" w:after="0"/>
        <w:ind w:left="99" w:right="720" w:firstLine="0"/>
        <w:jc w:val="both"/>
        <w:rPr>
          <w:sz w:val="19"/>
        </w:rPr>
      </w:pPr>
      <w:r>
        <w:rPr>
          <w:color w:val="6E6158"/>
          <w:sz w:val="19"/>
        </w:rPr>
        <w:t>Privacy and security provisions for cloud, data center, and network infrastructure </w:t>
      </w:r>
      <w:r>
        <w:rPr>
          <w:color w:val="6E6158"/>
          <w:sz w:val="19"/>
        </w:rPr>
        <w:t>provider agreements, including the Stored Communications Act (SCA) and the Wiretap and Stored Communications Acts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2" w:after="0"/>
        <w:ind w:left="217" w:right="0" w:hanging="118"/>
        <w:jc w:val="both"/>
        <w:rPr>
          <w:sz w:val="19"/>
        </w:rPr>
      </w:pPr>
      <w:r>
        <w:rPr>
          <w:color w:val="6E6158"/>
          <w:sz w:val="19"/>
        </w:rPr>
        <w:t>Anti-cybersquatting,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domain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name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strategies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trademark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issues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(ACPA,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UDRP,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URS)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both"/>
        <w:rPr>
          <w:sz w:val="19"/>
        </w:rPr>
      </w:pPr>
      <w:r>
        <w:rPr>
          <w:color w:val="6E6158"/>
          <w:sz w:val="19"/>
        </w:rPr>
        <w:t>Data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security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breaches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both"/>
        <w:rPr>
          <w:sz w:val="19"/>
        </w:rPr>
      </w:pPr>
      <w:r>
        <w:rPr>
          <w:color w:val="6E6158"/>
          <w:sz w:val="19"/>
        </w:rPr>
        <w:t>Online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speech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conduct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(CDA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ISP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terms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use)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social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media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issues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730" w:firstLine="0"/>
        <w:jc w:val="both"/>
        <w:rPr>
          <w:sz w:val="19"/>
        </w:rPr>
      </w:pPr>
      <w:r>
        <w:rPr>
          <w:color w:val="6E6158"/>
          <w:sz w:val="19"/>
        </w:rPr>
        <w:t>Website hosting agreements, terms and conditions of use, and privacy policies, as well as clickwrap and browse-wrap license agreements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right="4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&amp; Data Security - Fennemore</dc:title>
  <dcterms:created xsi:type="dcterms:W3CDTF">2026-06-05T08:52:50Z</dcterms:created>
  <dcterms:modified xsi:type="dcterms:W3CDTF">2026-06-05T08:52:50Z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