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9152" y="763308"/>
                            <a:ext cx="13017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0" w:firstLine="285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RIANAH GONZALES</w:t>
                              </w:r>
                            </w:p>
                            <w:p>
                              <w:pPr>
                                <w:spacing w:before="48"/>
                                <w:ind w:left="44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4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Estate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Planning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25444" y="2133494"/>
                            <a:ext cx="469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6425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3096" y="2293650"/>
                            <a:ext cx="81089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707-432-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7"/>
                                </w:rPr>
                                <w:t>4410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5609" y="2500373"/>
                            <a:ext cx="1569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rgonzales@fennemorelaw.com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57433" y="3756030"/>
                            <a:ext cx="35731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oceans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unless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sight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shore.</w:t>
                              </w:r>
                            </w:p>
                            <w:p>
                              <w:pPr>
                                <w:spacing w:before="1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Andre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8032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92;top:-6247;width:20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0" w:firstLine="285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RIANAH GONZALES</w:t>
                        </w:r>
                      </w:p>
                      <w:p>
                        <w:pPr>
                          <w:spacing w:before="48"/>
                          <w:ind w:left="4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413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Estate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Planning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47;top:-4089;width:739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68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707.432.4410</w:t>
                        </w:r>
                      </w:p>
                    </w:txbxContent>
                  </v:textbox>
                  <w10:wrap type="none"/>
                </v:shape>
                <v:shape style="position:absolute;left:8789;top:-3837;width:1277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707-432-</w:t>
                        </w:r>
                        <w:r>
                          <w:rPr>
                            <w:color w:val="FFFFFF"/>
                            <w:spacing w:val="-4"/>
                            <w:sz w:val="17"/>
                          </w:rPr>
                          <w:t>4410</w:t>
                        </w:r>
                      </w:p>
                    </w:txbxContent>
                  </v:textbox>
                  <w10:wrap type="none"/>
                </v:shape>
                <v:shape style="position:absolute;left:7282;top:-3511;width:247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rgonzales@fennemorelaw.com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6;top:-1534;width:5627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oceans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unless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courage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sight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shore.</w:t>
                        </w:r>
                      </w:p>
                      <w:p>
                        <w:pPr>
                          <w:spacing w:before="1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Andre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Gide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RIANAH</w:t>
      </w:r>
      <w:r>
        <w:rPr>
          <w:color w:val="002E6B"/>
          <w:spacing w:val="10"/>
        </w:rPr>
        <w:t> </w:t>
      </w:r>
      <w:r>
        <w:rPr>
          <w:color w:val="002E6B"/>
          <w:spacing w:val="-2"/>
        </w:rPr>
        <w:t>GONZALES</w:t>
      </w:r>
    </w:p>
    <w:p>
      <w:pPr>
        <w:pStyle w:val="BodyText"/>
        <w:spacing w:line="297" w:lineRule="auto" w:before="146"/>
        <w:ind w:left="99" w:right="136"/>
      </w:pPr>
      <w:r>
        <w:rPr>
          <w:color w:val="6E6158"/>
        </w:rPr>
        <w:t>Rianah Gonzales is a paralegal in Fennemore’s Estate Planning group, dedicated to continuous</w:t>
      </w:r>
      <w:r>
        <w:rPr>
          <w:color w:val="6E6158"/>
          <w:spacing w:val="40"/>
        </w:rPr>
        <w:t> </w:t>
      </w:r>
      <w:r>
        <w:rPr>
          <w:color w:val="6E6158"/>
        </w:rPr>
        <w:t>learning and creating positive client experiences through clear communication and attention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detail.</w:t>
      </w:r>
    </w:p>
    <w:p>
      <w:pPr>
        <w:pStyle w:val="BodyText"/>
        <w:spacing w:before="192"/>
        <w:ind w:left="99"/>
      </w:pPr>
      <w:r>
        <w:rPr>
          <w:color w:val="6E6158"/>
        </w:rPr>
        <w:t>Rianah</w:t>
      </w:r>
      <w:r>
        <w:rPr>
          <w:color w:val="6E6158"/>
          <w:spacing w:val="10"/>
        </w:rPr>
        <w:t> </w:t>
      </w:r>
      <w:r>
        <w:rPr>
          <w:color w:val="6E6158"/>
        </w:rPr>
        <w:t>started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journey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field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receptionist,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she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developed</w:t>
      </w:r>
    </w:p>
    <w:p>
      <w:pPr>
        <w:pStyle w:val="BodyText"/>
        <w:spacing w:line="302" w:lineRule="auto" w:before="52"/>
        <w:ind w:left="99" w:right="136"/>
      </w:pPr>
      <w:r>
        <w:rPr>
          <w:color w:val="6E6158"/>
        </w:rPr>
        <w:t>communication, organizational, and customer service skills in a professional environment. </w:t>
      </w:r>
      <w:r>
        <w:rPr>
          <w:color w:val="6E6158"/>
        </w:rPr>
        <w:t>Over</w:t>
      </w:r>
      <w:r>
        <w:rPr>
          <w:color w:val="6E6158"/>
          <w:spacing w:val="40"/>
        </w:rPr>
        <w:t> </w:t>
      </w:r>
      <w:r>
        <w:rPr>
          <w:color w:val="6E6158"/>
        </w:rPr>
        <w:t>time,</w:t>
      </w:r>
      <w:r>
        <w:rPr>
          <w:color w:val="6E6158"/>
          <w:spacing w:val="34"/>
        </w:rPr>
        <w:t> </w:t>
      </w:r>
      <w:r>
        <w:rPr>
          <w:color w:val="6E6158"/>
        </w:rPr>
        <w:t>Rianah</w:t>
      </w:r>
      <w:r>
        <w:rPr>
          <w:color w:val="6E6158"/>
          <w:spacing w:val="34"/>
        </w:rPr>
        <w:t> </w:t>
      </w:r>
      <w:r>
        <w:rPr>
          <w:color w:val="6E6158"/>
        </w:rPr>
        <w:t>gained</w:t>
      </w:r>
      <w:r>
        <w:rPr>
          <w:color w:val="6E6158"/>
          <w:spacing w:val="34"/>
        </w:rPr>
        <w:t> </w:t>
      </w:r>
      <w:r>
        <w:rPr>
          <w:color w:val="6E6158"/>
        </w:rPr>
        <w:t>exposure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  <w:r>
        <w:rPr>
          <w:color w:val="6E6158"/>
          <w:spacing w:val="34"/>
        </w:rPr>
        <w:t> </w:t>
      </w:r>
      <w:r>
        <w:rPr>
          <w:color w:val="6E6158"/>
        </w:rPr>
        <w:t>paralegal</w:t>
      </w:r>
      <w:r>
        <w:rPr>
          <w:color w:val="6E6158"/>
          <w:spacing w:val="34"/>
        </w:rPr>
        <w:t> </w:t>
      </w:r>
      <w:r>
        <w:rPr>
          <w:color w:val="6E6158"/>
        </w:rPr>
        <w:t>work</w:t>
      </w:r>
      <w:r>
        <w:rPr>
          <w:color w:val="6E6158"/>
          <w:spacing w:val="34"/>
        </w:rPr>
        <w:t> </w:t>
      </w:r>
      <w:r>
        <w:rPr>
          <w:color w:val="6E6158"/>
        </w:rPr>
        <w:t>before</w:t>
      </w:r>
      <w:r>
        <w:rPr>
          <w:color w:val="6E6158"/>
          <w:spacing w:val="34"/>
        </w:rPr>
        <w:t> </w:t>
      </w:r>
      <w:r>
        <w:rPr>
          <w:color w:val="6E6158"/>
        </w:rPr>
        <w:t>transitioning</w:t>
      </w:r>
      <w:r>
        <w:rPr>
          <w:color w:val="6E6158"/>
          <w:spacing w:val="34"/>
        </w:rPr>
        <w:t> </w:t>
      </w:r>
      <w:r>
        <w:rPr>
          <w:color w:val="6E6158"/>
        </w:rPr>
        <w:t>into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planning, where she continues to grow both personally and professionally. She looks forward to</w:t>
      </w:r>
      <w:r>
        <w:rPr>
          <w:color w:val="6E6158"/>
          <w:spacing w:val="40"/>
        </w:rPr>
        <w:t> </w:t>
      </w:r>
      <w:r>
        <w:rPr>
          <w:color w:val="6E6158"/>
        </w:rPr>
        <w:t>absorbing new knowledge, refining my legal skills, and providing dependable support to both</w:t>
      </w:r>
      <w:r>
        <w:rPr>
          <w:color w:val="6E6158"/>
          <w:spacing w:val="40"/>
        </w:rPr>
        <w:t> </w:t>
      </w:r>
      <w:r>
        <w:rPr>
          <w:color w:val="6E6158"/>
        </w:rPr>
        <w:t>attorneys and clients.</w:t>
      </w:r>
    </w:p>
    <w:p>
      <w:pPr>
        <w:pStyle w:val="BodyText"/>
        <w:spacing w:line="292" w:lineRule="auto" w:before="196"/>
        <w:ind w:left="99" w:right="205"/>
      </w:pPr>
      <w:r>
        <w:rPr>
          <w:color w:val="6E6158"/>
        </w:rPr>
        <w:t>In her spare time, Rianah enjoys outdoor activities such as kayaking, camping, hiking,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traveling.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4243"/>
      </w:pPr>
      <w:r>
        <w:rPr>
          <w:color w:val="6E6158"/>
        </w:rPr>
        <w:t>Paralegal Certificate, University of California, </w:t>
      </w:r>
      <w:r>
        <w:rPr>
          <w:color w:val="6E6158"/>
        </w:rPr>
        <w:t>Davis B.A., Sonoma State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spacing w:before="25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state-planning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rgonzale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Rianah Gonzales - Fennemore</dc:title>
  <dcterms:created xsi:type="dcterms:W3CDTF">2026-06-23T19:59:57Z</dcterms:created>
  <dcterms:modified xsi:type="dcterms:W3CDTF">2026-06-23T19:59:57Z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2026-06-23T00:00:00Z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2026-06-23T00:00:00Z</vt:filetime>
  </property>
  <property fmtid="{D5CDD505-2E9C-101B-9397-08002B2CF9AE}" pid="6" name="Producer">
    <vt:lpwstr>Skia/PDF m149</vt:lpwstr>
  </property>
</Properties>
</file>