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637915"/>
                <wp:effectExtent l="0" t="0" r="0" b="63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637915"/>
                          <a:chExt cx="6071870" cy="36379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NEW26 Ronnie Witle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369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36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369310">
                                <a:moveTo>
                                  <a:pt x="3033212" y="3369087"/>
                                </a:moveTo>
                                <a:lnTo>
                                  <a:pt x="0" y="33690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369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3369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742" w:right="744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RONALD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B.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WITLEN</w:t>
                              </w:r>
                            </w:p>
                            <w:p>
                              <w:pPr>
                                <w:spacing w:before="48"/>
                                <w:ind w:left="742" w:right="744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742" w:right="74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42" w:right="74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707.399.4260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707.207.7955</w:t>
                              </w:r>
                            </w:p>
                            <w:p>
                              <w:pPr>
                                <w:spacing w:line="240" w:lineRule="auto" w:before="73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742" w:right="74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Vacaville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707.399.4260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707.207.7955</w:t>
                              </w:r>
                            </w:p>
                            <w:p>
                              <w:pPr>
                                <w:spacing w:before="127"/>
                                <w:ind w:left="742" w:right="74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rwitlen@fennemorelaw.com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86.45pt;mso-position-horizontal-relative:char;mso-position-vertical-relative:line" id="docshapegroup1" coordorigin="0,0" coordsize="9562,572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5306" type="#_x0000_t75" id="docshape3" alt="NEW26 Ronnie Witlen bio" stroked="false">
                  <v:imagedata r:id="rId7" o:title=""/>
                </v:shape>
                <v:rect style="position:absolute;left:4784;top:423;width:4777;height:5306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530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742" w:right="744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RONALD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B.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WITLEN</w:t>
                        </w:r>
                      </w:p>
                      <w:p>
                        <w:pPr>
                          <w:spacing w:before="48"/>
                          <w:ind w:left="742" w:right="744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742" w:right="744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742" w:right="744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707.399.4260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707.207.7955</w:t>
                        </w:r>
                      </w:p>
                      <w:p>
                        <w:pPr>
                          <w:spacing w:line="240" w:lineRule="auto" w:before="73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1"/>
                          <w:ind w:left="742" w:right="744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Vacaville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707.399.4260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707.207.7955</w:t>
                        </w:r>
                      </w:p>
                      <w:p>
                        <w:pPr>
                          <w:spacing w:before="127"/>
                          <w:ind w:left="742" w:right="744" w:firstLine="0"/>
                          <w:jc w:val="center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rwitlen@fennemorelaw.com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77"/>
      </w:pPr>
      <w:r>
        <w:rPr>
          <w:color w:val="FF8100"/>
        </w:rPr>
        <w:t>RONALD</w:t>
      </w:r>
      <w:r>
        <w:rPr>
          <w:color w:val="FF8100"/>
          <w:spacing w:val="6"/>
        </w:rPr>
        <w:t> </w:t>
      </w:r>
      <w:r>
        <w:rPr>
          <w:color w:val="FF8100"/>
        </w:rPr>
        <w:t>B.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WITLEN</w:t>
      </w:r>
    </w:p>
    <w:p>
      <w:pPr>
        <w:pStyle w:val="BodyText"/>
        <w:spacing w:line="292" w:lineRule="auto" w:before="147"/>
        <w:ind w:right="918"/>
      </w:pPr>
      <w:r>
        <w:rPr>
          <w:color w:val="6E6158"/>
        </w:rPr>
        <w:t>Ronald B. Witlen is an attorney in Fennemore’s business &amp; finance practice group. He brings a</w:t>
      </w:r>
      <w:r>
        <w:rPr>
          <w:color w:val="6E6158"/>
          <w:spacing w:val="40"/>
        </w:rPr>
        <w:t> </w:t>
      </w:r>
      <w:r>
        <w:rPr>
          <w:color w:val="6E6158"/>
        </w:rPr>
        <w:t>decade of experience in corporate and transactional law, with a career spanning both law</w:t>
      </w:r>
      <w:r>
        <w:rPr>
          <w:color w:val="6E6158"/>
          <w:spacing w:val="40"/>
        </w:rPr>
        <w:t> </w:t>
      </w:r>
      <w:r>
        <w:rPr>
          <w:color w:val="6E6158"/>
        </w:rPr>
        <w:t>firms and in-house counsel roles.</w:t>
      </w:r>
    </w:p>
    <w:p>
      <w:pPr>
        <w:pStyle w:val="BodyText"/>
        <w:spacing w:line="292" w:lineRule="auto" w:before="205"/>
        <w:ind w:right="918"/>
      </w:pPr>
      <w:r>
        <w:rPr>
          <w:color w:val="6E6158"/>
        </w:rPr>
        <w:t>Early in his career, Ronnie worked with a venture capital firm supporting fintech companies, followed by his role in the corporate practice of a Sacramento-based law firm. There, he</w:t>
      </w:r>
      <w:r>
        <w:rPr>
          <w:color w:val="6E6158"/>
          <w:spacing w:val="40"/>
        </w:rPr>
        <w:t> </w:t>
      </w:r>
      <w:r>
        <w:rPr>
          <w:color w:val="6E6158"/>
        </w:rPr>
        <w:t>handled complex transactions including acquisitions, leases, commercial agreements, and</w:t>
      </w:r>
      <w:r>
        <w:rPr>
          <w:color w:val="6E6158"/>
          <w:spacing w:val="40"/>
        </w:rPr>
        <w:t> </w:t>
      </w:r>
      <w:r>
        <w:rPr>
          <w:color w:val="6E6158"/>
        </w:rPr>
        <w:t>financing</w:t>
      </w:r>
      <w:r>
        <w:rPr>
          <w:color w:val="6E6158"/>
          <w:spacing w:val="28"/>
        </w:rPr>
        <w:t> </w:t>
      </w:r>
      <w:r>
        <w:rPr>
          <w:color w:val="6E6158"/>
        </w:rPr>
        <w:t>arrangements.</w:t>
      </w:r>
      <w:r>
        <w:rPr>
          <w:color w:val="6E6158"/>
          <w:spacing w:val="28"/>
        </w:rPr>
        <w:t> </w:t>
      </w:r>
      <w:r>
        <w:rPr>
          <w:color w:val="6E6158"/>
        </w:rPr>
        <w:t>He</w:t>
      </w:r>
      <w:r>
        <w:rPr>
          <w:color w:val="6E6158"/>
          <w:spacing w:val="28"/>
        </w:rPr>
        <w:t> </w:t>
      </w:r>
      <w:r>
        <w:rPr>
          <w:color w:val="6E6158"/>
        </w:rPr>
        <w:t>also</w:t>
      </w:r>
      <w:r>
        <w:rPr>
          <w:color w:val="6E6158"/>
          <w:spacing w:val="28"/>
        </w:rPr>
        <w:t> </w:t>
      </w:r>
      <w:r>
        <w:rPr>
          <w:color w:val="6E6158"/>
        </w:rPr>
        <w:t>applies</w:t>
      </w:r>
      <w:r>
        <w:rPr>
          <w:color w:val="6E6158"/>
          <w:spacing w:val="28"/>
        </w:rPr>
        <w:t> </w:t>
      </w:r>
      <w:r>
        <w:rPr>
          <w:color w:val="6E6158"/>
        </w:rPr>
        <w:t>his</w:t>
      </w:r>
      <w:r>
        <w:rPr>
          <w:color w:val="6E6158"/>
          <w:spacing w:val="28"/>
        </w:rPr>
        <w:t> </w:t>
      </w:r>
      <w:r>
        <w:rPr>
          <w:color w:val="6E6158"/>
        </w:rPr>
        <w:t>LL.M.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Taxation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advise</w:t>
      </w:r>
      <w:r>
        <w:rPr>
          <w:color w:val="6E6158"/>
          <w:spacing w:val="28"/>
        </w:rPr>
        <w:t> </w:t>
      </w:r>
      <w:r>
        <w:rPr>
          <w:color w:val="6E6158"/>
        </w:rPr>
        <w:t>on</w:t>
      </w:r>
      <w:r>
        <w:rPr>
          <w:color w:val="6E6158"/>
          <w:spacing w:val="28"/>
        </w:rPr>
        <w:t> </w:t>
      </w:r>
      <w:r>
        <w:rPr>
          <w:color w:val="6E6158"/>
        </w:rPr>
        <w:t>tax</w:t>
      </w:r>
      <w:r>
        <w:rPr>
          <w:color w:val="6E6158"/>
          <w:spacing w:val="28"/>
        </w:rPr>
        <w:t> </w:t>
      </w:r>
      <w:r>
        <w:rPr>
          <w:color w:val="6E6158"/>
        </w:rPr>
        <w:t>planning,</w:t>
      </w:r>
    </w:p>
    <w:p>
      <w:pPr>
        <w:pStyle w:val="BodyText"/>
        <w:spacing w:line="292" w:lineRule="auto" w:before="10"/>
        <w:ind w:right="918"/>
      </w:pPr>
      <w:r>
        <w:rPr>
          <w:color w:val="6E6158"/>
        </w:rPr>
        <w:t>partnership tax matters, tax controversy, and structuring strategies such as insurance-</w:t>
      </w:r>
      <w:r>
        <w:rPr>
          <w:color w:val="6E6158"/>
        </w:rPr>
        <w:t>funded</w:t>
      </w:r>
      <w:r>
        <w:rPr>
          <w:color w:val="6E6158"/>
          <w:spacing w:val="40"/>
        </w:rPr>
        <w:t> </w:t>
      </w:r>
      <w:r>
        <w:rPr>
          <w:color w:val="6E6158"/>
        </w:rPr>
        <w:t>buy-sell agreements.</w:t>
      </w:r>
    </w:p>
    <w:p>
      <w:pPr>
        <w:pStyle w:val="BodyText"/>
        <w:spacing w:line="297" w:lineRule="auto" w:before="197"/>
        <w:ind w:right="385"/>
      </w:pPr>
      <w:r>
        <w:rPr>
          <w:color w:val="6E6158"/>
        </w:rPr>
        <w:t>As in-house counsel for a Northern California real estate development company, Ronnie </w:t>
      </w:r>
      <w:r>
        <w:rPr>
          <w:color w:val="6E6158"/>
        </w:rPr>
        <w:t>gained</w:t>
      </w:r>
      <w:r>
        <w:rPr>
          <w:color w:val="6E6158"/>
          <w:spacing w:val="40"/>
        </w:rPr>
        <w:t> </w:t>
      </w:r>
      <w:r>
        <w:rPr>
          <w:color w:val="6E6158"/>
        </w:rPr>
        <w:t>valuable insight into internal business operations and decision-making. He led a company-wide</w:t>
      </w:r>
      <w:r>
        <w:rPr>
          <w:color w:val="6E6158"/>
          <w:spacing w:val="40"/>
        </w:rPr>
        <w:t> </w:t>
      </w:r>
      <w:r>
        <w:rPr>
          <w:color w:val="6E6158"/>
        </w:rPr>
        <w:t>restructuring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multiple</w:t>
      </w:r>
      <w:r>
        <w:rPr>
          <w:color w:val="6E6158"/>
          <w:spacing w:val="32"/>
        </w:rPr>
        <w:t> </w:t>
      </w:r>
      <w:r>
        <w:rPr>
          <w:color w:val="6E6158"/>
        </w:rPr>
        <w:t>LLCs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partnerships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support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major</w:t>
      </w:r>
      <w:r>
        <w:rPr>
          <w:color w:val="6E6158"/>
          <w:spacing w:val="32"/>
        </w:rPr>
        <w:t> </w:t>
      </w:r>
      <w:r>
        <w:rPr>
          <w:color w:val="6E6158"/>
        </w:rPr>
        <w:t>portfolio</w:t>
      </w:r>
      <w:r>
        <w:rPr>
          <w:color w:val="6E6158"/>
          <w:spacing w:val="32"/>
        </w:rPr>
        <w:t> </w:t>
      </w:r>
      <w:r>
        <w:rPr>
          <w:color w:val="6E6158"/>
        </w:rPr>
        <w:t>loan,</w:t>
      </w:r>
      <w:r>
        <w:rPr>
          <w:color w:val="6E6158"/>
          <w:spacing w:val="32"/>
        </w:rPr>
        <w:t> </w:t>
      </w:r>
      <w:r>
        <w:rPr>
          <w:color w:val="6E6158"/>
        </w:rPr>
        <w:t>coordinated</w:t>
      </w:r>
    </w:p>
    <w:p>
      <w:pPr>
        <w:pStyle w:val="BodyText"/>
        <w:spacing w:line="292" w:lineRule="auto"/>
      </w:pPr>
      <w:r>
        <w:rPr>
          <w:color w:val="6E6158"/>
        </w:rPr>
        <w:t>cost segregation studies, and negotiated lease amendments, terminations, and deferrals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commercial tenants during the pandemic.</w:t>
      </w:r>
    </w:p>
    <w:p>
      <w:pPr>
        <w:pStyle w:val="BodyText"/>
        <w:spacing w:line="292" w:lineRule="auto" w:before="201"/>
        <w:ind w:right="963"/>
        <w:jc w:val="both"/>
      </w:pPr>
      <w:r>
        <w:rPr>
          <w:color w:val="6E6158"/>
        </w:rPr>
        <w:t>Before joining Fennemore, Ronnie worked at a firm focused on venture financings and exits, representing companies in late-stage preferred stock financings, bridge loans, mergers and acquisitions, and negotiations with investment banks and broker-dealers.</w:t>
      </w:r>
    </w:p>
    <w:p>
      <w:pPr>
        <w:pStyle w:val="BodyText"/>
        <w:spacing w:line="297" w:lineRule="auto" w:before="197"/>
        <w:ind w:right="385"/>
      </w:pPr>
      <w:r>
        <w:rPr>
          <w:color w:val="6E6158"/>
        </w:rPr>
        <w:t>At Fennemore, Ronnie leverages his combined law firm and in-house experience to guide </w:t>
      </w:r>
      <w:r>
        <w:rPr>
          <w:color w:val="6E6158"/>
        </w:rPr>
        <w:t>clients</w:t>
      </w:r>
      <w:r>
        <w:rPr>
          <w:color w:val="6E6158"/>
          <w:spacing w:val="40"/>
        </w:rPr>
        <w:t> </w:t>
      </w:r>
      <w:r>
        <w:rPr>
          <w:color w:val="6E6158"/>
        </w:rPr>
        <w:t>through</w:t>
      </w:r>
      <w:r>
        <w:rPr>
          <w:color w:val="6E6158"/>
          <w:spacing w:val="40"/>
        </w:rPr>
        <w:t> </w:t>
      </w:r>
      <w:r>
        <w:rPr>
          <w:color w:val="6E6158"/>
        </w:rPr>
        <w:t>complex</w:t>
      </w:r>
      <w:r>
        <w:rPr>
          <w:color w:val="6E6158"/>
          <w:spacing w:val="40"/>
        </w:rPr>
        <w:t> </w:t>
      </w:r>
      <w:r>
        <w:rPr>
          <w:color w:val="6E6158"/>
        </w:rPr>
        <w:t>transactions</w:t>
      </w:r>
      <w:r>
        <w:rPr>
          <w:color w:val="6E6158"/>
          <w:spacing w:val="40"/>
        </w:rPr>
        <w:t> </w:t>
      </w:r>
      <w:r>
        <w:rPr>
          <w:color w:val="6E6158"/>
        </w:rPr>
        <w:t>while</w:t>
      </w:r>
      <w:r>
        <w:rPr>
          <w:color w:val="6E6158"/>
          <w:spacing w:val="40"/>
        </w:rPr>
        <w:t> </w:t>
      </w:r>
      <w:r>
        <w:rPr>
          <w:color w:val="6E6158"/>
        </w:rPr>
        <w:t>helping</w:t>
      </w:r>
      <w:r>
        <w:rPr>
          <w:color w:val="6E6158"/>
          <w:spacing w:val="40"/>
        </w:rPr>
        <w:t> </w:t>
      </w:r>
      <w:r>
        <w:rPr>
          <w:color w:val="6E6158"/>
        </w:rPr>
        <w:t>them</w:t>
      </w:r>
      <w:r>
        <w:rPr>
          <w:color w:val="6E6158"/>
          <w:spacing w:val="40"/>
        </w:rPr>
        <w:t> </w:t>
      </w:r>
      <w:r>
        <w:rPr>
          <w:color w:val="6E6158"/>
        </w:rPr>
        <w:t>navigate</w:t>
      </w:r>
      <w:r>
        <w:rPr>
          <w:color w:val="6E6158"/>
          <w:spacing w:val="40"/>
        </w:rPr>
        <w:t> </w:t>
      </w:r>
      <w:r>
        <w:rPr>
          <w:color w:val="6E6158"/>
        </w:rPr>
        <w:t>day-to-day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and governance challenges.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LL.M.,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Diego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McGeorge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Pacific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Georgia,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Franklin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College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Georgia,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Public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International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Affairs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Finance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2"/>
          <w:sz w:val="19"/>
        </w:rPr>
        <w:t>Court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18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0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0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0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0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0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0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0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https://www.fennemorelaw.com/contact-us/vacaville/" TargetMode="External"/><Relationship Id="rId11" Type="http://schemas.openxmlformats.org/officeDocument/2006/relationships/hyperlink" Target="mailto:rwitlen@fennemorelaw.com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B. Witlen - Fennemore</dc:title>
  <dcterms:created xsi:type="dcterms:W3CDTF">2026-06-05T12:43:07Z</dcterms:created>
  <dcterms:modified xsi:type="dcterms:W3CDTF">2026-06-05T12:43:07Z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