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8"/>
        <w:ind w:left="0"/>
        <w:rPr>
          <w:rFonts w:ascii="Times New Roman"/>
          <w:sz w:val="20"/>
        </w:rPr>
      </w:pPr>
    </w:p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96139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071870" cy="961390"/>
                        </a:xfrm>
                        <a:prstGeom prst="rect">
                          <a:avLst/>
                        </a:prstGeom>
                        <a:solidFill>
                          <a:srgbClr val="002F6A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6"/>
                              <w:ind w:left="0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360" w:lineRule="auto"/>
                              <w:ind w:left="1627" w:right="17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Fennemore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offers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deep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expertise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handling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complex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real estate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transactions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California.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8.1pt;height:75.7pt;mso-position-horizontal-relative:char;mso-position-vertical-relative:line" type="#_x0000_t202" id="docshape1" filled="true" fillcolor="#002f6a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86"/>
                        <w:ind w:left="0"/>
                        <w:rPr>
                          <w:rFonts w:ascii="Times New Roman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360" w:lineRule="auto"/>
                        <w:ind w:left="1627" w:right="172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Fennemore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offers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deep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expertise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handling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complex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real estate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transactions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California.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0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848486</wp:posOffset>
            </wp:positionH>
            <wp:positionV relativeFrom="paragraph">
              <wp:posOffset>-1450420</wp:posOffset>
            </wp:positionV>
            <wp:extent cx="1380586" cy="266700"/>
            <wp:effectExtent l="0" t="0" r="0" b="0"/>
            <wp:wrapNone/>
            <wp:docPr id="2" name="Image 2" descr="Fennemore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Fennemore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586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E6B"/>
        </w:rPr>
        <w:t>EXPERTS</w:t>
      </w:r>
      <w:r>
        <w:rPr>
          <w:color w:val="002E6B"/>
          <w:spacing w:val="8"/>
        </w:rPr>
        <w:t> </w:t>
      </w:r>
      <w:r>
        <w:rPr>
          <w:color w:val="002E6B"/>
        </w:rPr>
        <w:t>BRING</w:t>
      </w:r>
      <w:r>
        <w:rPr>
          <w:color w:val="002E6B"/>
          <w:spacing w:val="9"/>
        </w:rPr>
        <w:t> </w:t>
      </w:r>
      <w:r>
        <w:rPr>
          <w:color w:val="002E6B"/>
        </w:rPr>
        <w:t>DECADES</w:t>
      </w:r>
      <w:r>
        <w:rPr>
          <w:color w:val="002E6B"/>
          <w:spacing w:val="9"/>
        </w:rPr>
        <w:t> </w:t>
      </w:r>
      <w:r>
        <w:rPr>
          <w:color w:val="002E6B"/>
        </w:rPr>
        <w:t>OF</w:t>
      </w:r>
      <w:r>
        <w:rPr>
          <w:color w:val="002E6B"/>
          <w:spacing w:val="9"/>
        </w:rPr>
        <w:t> </w:t>
      </w:r>
      <w:r>
        <w:rPr>
          <w:color w:val="002E6B"/>
        </w:rPr>
        <w:t>EXPERIENCE</w:t>
      </w:r>
      <w:r>
        <w:rPr>
          <w:color w:val="002E6B"/>
          <w:spacing w:val="9"/>
        </w:rPr>
        <w:t> </w:t>
      </w:r>
      <w:r>
        <w:rPr>
          <w:color w:val="002E6B"/>
        </w:rPr>
        <w:t>TO</w:t>
      </w:r>
      <w:r>
        <w:rPr>
          <w:color w:val="002E6B"/>
          <w:spacing w:val="8"/>
        </w:rPr>
        <w:t> </w:t>
      </w:r>
      <w:r>
        <w:rPr>
          <w:color w:val="002E6B"/>
          <w:spacing w:val="-2"/>
        </w:rPr>
        <w:t>COURT</w:t>
      </w:r>
    </w:p>
    <w:p>
      <w:pPr>
        <w:pStyle w:val="BodyText"/>
        <w:spacing w:line="295" w:lineRule="auto" w:before="155"/>
        <w:ind w:right="733"/>
      </w:pPr>
      <w:r>
        <w:rPr>
          <w:color w:val="6E6158"/>
        </w:rPr>
        <w:t>Fennemore’s Real Estate Attorneys in Sacramento deliver multidisciplinary legal solutions for</w:t>
      </w:r>
      <w:r>
        <w:rPr>
          <w:color w:val="6E6158"/>
          <w:spacing w:val="40"/>
        </w:rPr>
        <w:t> </w:t>
      </w:r>
      <w:r>
        <w:rPr>
          <w:color w:val="6E6158"/>
        </w:rPr>
        <w:t>property ownership, investment, development, construction and management, as well as</w:t>
      </w:r>
      <w:r>
        <w:rPr>
          <w:color w:val="6E6158"/>
          <w:spacing w:val="80"/>
        </w:rPr>
        <w:t> </w:t>
      </w:r>
      <w:r>
        <w:rPr>
          <w:color w:val="6E6158"/>
        </w:rPr>
        <w:t>related entity formations, tax planning and financing structures. From out Sacramento </w:t>
      </w:r>
      <w:r>
        <w:rPr>
          <w:color w:val="6E6158"/>
        </w:rPr>
        <w:t>location,</w:t>
      </w:r>
      <w:r>
        <w:rPr>
          <w:color w:val="6E6158"/>
          <w:spacing w:val="40"/>
        </w:rPr>
        <w:t> </w:t>
      </w:r>
      <w:r>
        <w:rPr>
          <w:color w:val="6E6158"/>
        </w:rPr>
        <w:t>we represent clients in the Sacramento Valley, Bay Area, Central Valley, and throughout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2" w:lineRule="auto" w:before="195"/>
        <w:ind w:right="512"/>
      </w:pPr>
      <w:r>
        <w:rPr>
          <w:color w:val="6E6158"/>
        </w:rPr>
        <w:t>We’ve successfully helped our clients (including developers, home builders, financial institutions,</w:t>
      </w:r>
      <w:r>
        <w:rPr>
          <w:color w:val="6E6158"/>
          <w:spacing w:val="40"/>
        </w:rPr>
        <w:t> </w:t>
      </w:r>
      <w:r>
        <w:rPr>
          <w:color w:val="6E6158"/>
        </w:rPr>
        <w:t>property managers, investors, brokers, contractors and small businesses) achieve results in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39"/>
        </w:rPr>
        <w:t> </w:t>
      </w:r>
      <w:r>
        <w:rPr>
          <w:color w:val="6E6158"/>
        </w:rPr>
        <w:t>sectors.</w:t>
      </w:r>
      <w:r>
        <w:rPr>
          <w:color w:val="6E6158"/>
          <w:spacing w:val="39"/>
        </w:rPr>
        <w:t> </w:t>
      </w:r>
      <w:r>
        <w:rPr>
          <w:color w:val="6E6158"/>
        </w:rPr>
        <w:t>This</w:t>
      </w:r>
      <w:r>
        <w:rPr>
          <w:color w:val="6E6158"/>
          <w:spacing w:val="39"/>
        </w:rPr>
        <w:t> </w:t>
      </w:r>
      <w:r>
        <w:rPr>
          <w:color w:val="6E6158"/>
        </w:rPr>
        <w:t>includes</w:t>
      </w:r>
      <w:r>
        <w:rPr>
          <w:color w:val="6E6158"/>
          <w:spacing w:val="39"/>
        </w:rPr>
        <w:t> </w:t>
      </w:r>
      <w:r>
        <w:rPr>
          <w:color w:val="6E6158"/>
        </w:rPr>
        <w:t>planned</w:t>
      </w:r>
      <w:r>
        <w:rPr>
          <w:color w:val="6E6158"/>
          <w:spacing w:val="39"/>
        </w:rPr>
        <w:t> </w:t>
      </w:r>
      <w:r>
        <w:rPr>
          <w:color w:val="6E6158"/>
        </w:rPr>
        <w:t>communities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residential</w:t>
      </w:r>
      <w:r>
        <w:rPr>
          <w:color w:val="6E6158"/>
          <w:spacing w:val="39"/>
        </w:rPr>
        <w:t> </w:t>
      </w:r>
      <w:r>
        <w:rPr>
          <w:color w:val="6E6158"/>
        </w:rPr>
        <w:t>subdivisions,</w:t>
      </w:r>
      <w:r>
        <w:rPr>
          <w:color w:val="6E6158"/>
          <w:spacing w:val="39"/>
        </w:rPr>
        <w:t> </w:t>
      </w:r>
      <w:r>
        <w:rPr>
          <w:color w:val="6E6158"/>
        </w:rPr>
        <w:t>office,</w:t>
      </w:r>
      <w:r>
        <w:rPr>
          <w:color w:val="6E6158"/>
          <w:spacing w:val="39"/>
        </w:rPr>
        <w:t> </w:t>
      </w:r>
      <w:r>
        <w:rPr>
          <w:color w:val="6E6158"/>
        </w:rPr>
        <w:t>retail,</w:t>
      </w:r>
    </w:p>
    <w:p>
      <w:pPr>
        <w:pStyle w:val="BodyText"/>
        <w:spacing w:line="292" w:lineRule="auto" w:before="9"/>
        <w:ind w:right="733"/>
      </w:pPr>
      <w:r>
        <w:rPr>
          <w:color w:val="6E6158"/>
        </w:rPr>
        <w:t>apartments, industrial, condominiums, and agricultural and undeveloped land. In fact, our firm</w:t>
      </w:r>
      <w:r>
        <w:rPr>
          <w:color w:val="6E6158"/>
          <w:spacing w:val="80"/>
        </w:rPr>
        <w:t> </w:t>
      </w:r>
      <w:r>
        <w:rPr>
          <w:color w:val="6E6158"/>
        </w:rPr>
        <w:t>has played a significant role in the growth and development of the Sacramento area and other</w:t>
      </w:r>
      <w:r>
        <w:rPr>
          <w:color w:val="6E6158"/>
          <w:spacing w:val="40"/>
        </w:rPr>
        <w:t> </w:t>
      </w:r>
      <w:r>
        <w:rPr>
          <w:color w:val="6E6158"/>
        </w:rPr>
        <w:t>regions of Northern California.</w:t>
      </w:r>
    </w:p>
    <w:p>
      <w:pPr>
        <w:pStyle w:val="Heading1"/>
        <w:spacing w:before="164"/>
      </w:pPr>
      <w:r>
        <w:rPr>
          <w:color w:val="FF8100"/>
        </w:rPr>
        <w:t>REAL</w:t>
      </w:r>
      <w:r>
        <w:rPr>
          <w:color w:val="FF8100"/>
          <w:spacing w:val="7"/>
        </w:rPr>
        <w:t> </w:t>
      </w: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DEVELOPMENT</w:t>
      </w:r>
    </w:p>
    <w:p>
      <w:pPr>
        <w:pStyle w:val="BodyText"/>
        <w:spacing w:line="292" w:lineRule="auto" w:before="154"/>
        <w:ind w:right="733"/>
      </w:pPr>
      <w:r>
        <w:rPr>
          <w:color w:val="6E6158"/>
        </w:rPr>
        <w:t>We represent developers in matters related to the development of land and planned communities including:</w:t>
      </w:r>
    </w:p>
    <w:p>
      <w:pPr>
        <w:pStyle w:val="BodyText"/>
        <w:spacing w:before="197"/>
      </w:pPr>
      <w:r>
        <w:rPr>
          <w:color w:val="6E6158"/>
        </w:rPr>
        <w:t>Land</w:t>
      </w:r>
      <w:r>
        <w:rPr>
          <w:color w:val="6E6158"/>
          <w:spacing w:val="8"/>
        </w:rPr>
        <w:t> </w:t>
      </w:r>
      <w:r>
        <w:rPr>
          <w:color w:val="6E6158"/>
        </w:rPr>
        <w:t>use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approvals</w:t>
      </w:r>
    </w:p>
    <w:p>
      <w:pPr>
        <w:pStyle w:val="BodyText"/>
        <w:spacing w:line="427" w:lineRule="auto" w:before="174"/>
        <w:ind w:right="5610"/>
      </w:pPr>
      <w:r>
        <w:rPr>
          <w:color w:val="6E6158"/>
        </w:rPr>
        <w:t>Design, construction and builder </w:t>
      </w:r>
      <w:r>
        <w:rPr>
          <w:color w:val="6E6158"/>
        </w:rPr>
        <w:t>contracts CC&amp;Rs and HOAs</w:t>
      </w:r>
    </w:p>
    <w:p>
      <w:pPr>
        <w:pStyle w:val="BodyText"/>
        <w:spacing w:line="226" w:lineRule="exact"/>
      </w:pPr>
      <w:r>
        <w:rPr>
          <w:color w:val="6E6158"/>
        </w:rPr>
        <w:t>Easements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rights-of-</w:t>
      </w:r>
      <w:r>
        <w:rPr>
          <w:color w:val="6E6158"/>
          <w:spacing w:val="-5"/>
        </w:rPr>
        <w:t>way</w:t>
      </w:r>
    </w:p>
    <w:p>
      <w:pPr>
        <w:pStyle w:val="BodyText"/>
        <w:spacing w:before="174"/>
      </w:pPr>
      <w:r>
        <w:rPr>
          <w:color w:val="6E6158"/>
        </w:rPr>
        <w:t>Development,</w:t>
      </w:r>
      <w:r>
        <w:rPr>
          <w:color w:val="6E6158"/>
          <w:spacing w:val="19"/>
        </w:rPr>
        <w:t> </w:t>
      </w:r>
      <w:r>
        <w:rPr>
          <w:color w:val="6E6158"/>
        </w:rPr>
        <w:t>cost-sharing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consultant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before="63"/>
        <w:ind w:left="0"/>
      </w:pPr>
    </w:p>
    <w:p>
      <w:pPr>
        <w:pStyle w:val="BodyText"/>
        <w:spacing w:line="297" w:lineRule="auto"/>
        <w:ind w:right="733"/>
      </w:pPr>
      <w:r>
        <w:rPr>
          <w:color w:val="6E6158"/>
        </w:rPr>
        <w:t>Our expertise extends to the negotiation and documentation of joint ventures and investment</w:t>
      </w:r>
      <w:r>
        <w:rPr>
          <w:color w:val="6E6158"/>
          <w:spacing w:val="40"/>
        </w:rPr>
        <w:t> </w:t>
      </w:r>
      <w:r>
        <w:rPr>
          <w:color w:val="6E6158"/>
        </w:rPr>
        <w:t>structures, and in various financing arrangements such as equity, acquisitions and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financing, construction lending, or permanent financing.</w:t>
      </w:r>
    </w:p>
    <w:p>
      <w:pPr>
        <w:pStyle w:val="Heading1"/>
        <w:spacing w:before="157"/>
      </w:pPr>
      <w:r>
        <w:rPr>
          <w:color w:val="FF8100"/>
        </w:rPr>
        <w:t>REAL</w:t>
      </w:r>
      <w:r>
        <w:rPr>
          <w:color w:val="FF8100"/>
          <w:spacing w:val="8"/>
        </w:rPr>
        <w:t> </w:t>
      </w:r>
      <w:r>
        <w:rPr>
          <w:color w:val="FF8100"/>
        </w:rPr>
        <w:t>ESTATE</w:t>
      </w:r>
      <w:r>
        <w:rPr>
          <w:color w:val="FF8100"/>
          <w:spacing w:val="9"/>
        </w:rPr>
        <w:t> </w:t>
      </w:r>
      <w:r>
        <w:rPr>
          <w:color w:val="FF8100"/>
        </w:rPr>
        <w:t>ACQUISITIONS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DISPOSITIONS</w:t>
      </w:r>
    </w:p>
    <w:p>
      <w:pPr>
        <w:pStyle w:val="BodyText"/>
        <w:spacing w:line="295" w:lineRule="auto" w:before="147"/>
        <w:ind w:right="512"/>
      </w:pPr>
      <w:r>
        <w:rPr>
          <w:color w:val="6E6158"/>
        </w:rPr>
        <w:t>Our real estate attorneys have extensive experience in negotiating and documenting the sales</w:t>
      </w:r>
      <w:r>
        <w:rPr>
          <w:color w:val="6E6158"/>
          <w:spacing w:val="40"/>
        </w:rPr>
        <w:t> </w:t>
      </w:r>
      <w:r>
        <w:rPr>
          <w:color w:val="6E6158"/>
        </w:rPr>
        <w:t>and purchases of land, office, residential, retail, industrial, mixed use and other properties. We’ve</w:t>
      </w:r>
      <w:r>
        <w:rPr>
          <w:color w:val="6E6158"/>
          <w:spacing w:val="40"/>
        </w:rPr>
        <w:t> </w:t>
      </w:r>
      <w:r>
        <w:rPr>
          <w:color w:val="6E6158"/>
        </w:rPr>
        <w:t>helped clients ranging from well-known area developers and builders, to small property owners</w:t>
      </w:r>
      <w:r>
        <w:rPr>
          <w:color w:val="6E6158"/>
          <w:spacing w:val="40"/>
        </w:rPr>
        <w:t> </w:t>
      </w:r>
      <w:r>
        <w:rPr>
          <w:color w:val="6E6158"/>
        </w:rPr>
        <w:t>throughout</w:t>
      </w:r>
      <w:r>
        <w:rPr>
          <w:color w:val="6E6158"/>
          <w:spacing w:val="35"/>
        </w:rPr>
        <w:t> </w:t>
      </w:r>
      <w:r>
        <w:rPr>
          <w:color w:val="6E6158"/>
        </w:rPr>
        <w:t>Northern</w:t>
      </w:r>
      <w:r>
        <w:rPr>
          <w:color w:val="6E6158"/>
          <w:spacing w:val="35"/>
        </w:rPr>
        <w:t> </w:t>
      </w:r>
      <w:r>
        <w:rPr>
          <w:color w:val="6E6158"/>
        </w:rPr>
        <w:t>California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Nevada.</w:t>
      </w:r>
      <w:r>
        <w:rPr>
          <w:color w:val="6E6158"/>
          <w:spacing w:val="35"/>
        </w:rPr>
        <w:t> </w:t>
      </w:r>
      <w:r>
        <w:rPr>
          <w:color w:val="6E6158"/>
        </w:rPr>
        <w:t>We</w:t>
      </w:r>
      <w:r>
        <w:rPr>
          <w:color w:val="6E6158"/>
          <w:spacing w:val="35"/>
        </w:rPr>
        <w:t> </w:t>
      </w:r>
      <w:r>
        <w:rPr>
          <w:color w:val="6E6158"/>
        </w:rPr>
        <w:t>handle</w:t>
      </w:r>
      <w:r>
        <w:rPr>
          <w:color w:val="6E6158"/>
          <w:spacing w:val="35"/>
        </w:rPr>
        <w:t> </w:t>
      </w:r>
      <w:r>
        <w:rPr>
          <w:color w:val="6E6158"/>
        </w:rPr>
        <w:t>all</w:t>
      </w:r>
      <w:r>
        <w:rPr>
          <w:color w:val="6E6158"/>
          <w:spacing w:val="35"/>
        </w:rPr>
        <w:t> </w:t>
      </w:r>
      <w:r>
        <w:rPr>
          <w:color w:val="6E6158"/>
        </w:rPr>
        <w:t>aspects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transactions,</w:t>
      </w:r>
      <w:r>
        <w:rPr>
          <w:color w:val="6E6158"/>
          <w:spacing w:val="35"/>
        </w:rPr>
        <w:t> </w:t>
      </w:r>
      <w:r>
        <w:rPr>
          <w:color w:val="6E6158"/>
        </w:rPr>
        <w:t>including:</w:t>
      </w:r>
    </w:p>
    <w:p>
      <w:pPr>
        <w:pStyle w:val="BodyText"/>
        <w:spacing w:before="196"/>
      </w:pPr>
      <w:r>
        <w:rPr>
          <w:color w:val="6E6158"/>
        </w:rPr>
        <w:t>Structure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transaction</w:t>
      </w:r>
    </w:p>
    <w:p>
      <w:pPr>
        <w:pStyle w:val="BodyText"/>
        <w:spacing w:line="420" w:lineRule="auto" w:before="182"/>
        <w:ind w:right="5610"/>
      </w:pPr>
      <w:r>
        <w:rPr>
          <w:color w:val="6E6158"/>
        </w:rPr>
        <w:t>Document negotiation and </w:t>
      </w:r>
      <w:r>
        <w:rPr>
          <w:color w:val="6E6158"/>
        </w:rPr>
        <w:t>preparation Title and survey reviews</w:t>
      </w:r>
    </w:p>
    <w:p>
      <w:pPr>
        <w:pStyle w:val="BodyText"/>
        <w:spacing w:line="420" w:lineRule="auto"/>
        <w:ind w:right="5610"/>
      </w:pPr>
      <w:r>
        <w:rPr>
          <w:color w:val="6E6158"/>
        </w:rPr>
        <w:t>Title policy and endorsement </w:t>
      </w:r>
      <w:r>
        <w:rPr>
          <w:color w:val="6E6158"/>
        </w:rPr>
        <w:t>negotiation Closing of escrow process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SECURED</w:t>
      </w:r>
      <w:r>
        <w:rPr>
          <w:color w:val="FF8100"/>
          <w:spacing w:val="8"/>
        </w:rPr>
        <w:t> </w:t>
      </w:r>
      <w:r>
        <w:rPr>
          <w:color w:val="FF8100"/>
        </w:rPr>
        <w:t>LENDING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FINANCE</w:t>
      </w:r>
    </w:p>
    <w:p>
      <w:pPr>
        <w:pStyle w:val="BodyText"/>
        <w:spacing w:before="147"/>
      </w:pP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advise</w:t>
      </w:r>
      <w:r>
        <w:rPr>
          <w:color w:val="6E6158"/>
          <w:spacing w:val="10"/>
        </w:rPr>
        <w:t> </w:t>
      </w:r>
      <w:r>
        <w:rPr>
          <w:color w:val="6E6158"/>
        </w:rPr>
        <w:t>lenders,</w:t>
      </w:r>
      <w:r>
        <w:rPr>
          <w:color w:val="6E6158"/>
          <w:spacing w:val="10"/>
        </w:rPr>
        <w:t> </w:t>
      </w:r>
      <w:r>
        <w:rPr>
          <w:color w:val="6E6158"/>
        </w:rPr>
        <w:t>developers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owners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variety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finance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14"/>
        <w:ind w:left="0"/>
      </w:pPr>
    </w:p>
    <w:p>
      <w:pPr>
        <w:pStyle w:val="BodyText"/>
        <w:spacing w:line="427" w:lineRule="auto"/>
        <w:ind w:right="4618"/>
      </w:pPr>
      <w:r>
        <w:rPr>
          <w:color w:val="6E6158"/>
        </w:rPr>
        <w:t>Secured and unsecured credit and loan </w:t>
      </w:r>
      <w:r>
        <w:rPr>
          <w:color w:val="6E6158"/>
        </w:rPr>
        <w:t>transactions Asset-based financing transactions</w:t>
      </w:r>
    </w:p>
    <w:p>
      <w:pPr>
        <w:pStyle w:val="BodyText"/>
        <w:spacing w:line="226" w:lineRule="exact"/>
      </w:pP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acquisition</w:t>
      </w:r>
    </w:p>
    <w:p>
      <w:pPr>
        <w:pStyle w:val="BodyText"/>
        <w:spacing w:before="174"/>
      </w:pPr>
      <w:r>
        <w:rPr>
          <w:color w:val="6E6158"/>
        </w:rPr>
        <w:t>Development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loans</w:t>
      </w:r>
    </w:p>
    <w:p>
      <w:pPr>
        <w:pStyle w:val="BodyText"/>
        <w:spacing w:before="174"/>
      </w:pP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banking</w:t>
      </w:r>
      <w:r>
        <w:rPr>
          <w:color w:val="6E6158"/>
          <w:spacing w:val="18"/>
        </w:rPr>
        <w:t> </w:t>
      </w:r>
      <w:r>
        <w:rPr>
          <w:color w:val="6E6158"/>
        </w:rPr>
        <w:t>transactions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issues</w:t>
      </w:r>
    </w:p>
    <w:p>
      <w:pPr>
        <w:pStyle w:val="BodyText"/>
        <w:spacing w:before="71"/>
        <w:ind w:left="0"/>
      </w:pPr>
    </w:p>
    <w:p>
      <w:pPr>
        <w:pStyle w:val="BodyText"/>
      </w:pPr>
      <w:r>
        <w:rPr>
          <w:color w:val="6E6158"/>
        </w:rPr>
        <w:t>Whether</w:t>
      </w:r>
      <w:r>
        <w:rPr>
          <w:color w:val="6E6158"/>
          <w:spacing w:val="8"/>
        </w:rPr>
        <w:t> </w:t>
      </w:r>
      <w:r>
        <w:rPr>
          <w:color w:val="6E6158"/>
        </w:rPr>
        <w:t>you’re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debtor</w:t>
      </w:r>
      <w:r>
        <w:rPr>
          <w:color w:val="6E6158"/>
          <w:spacing w:val="9"/>
        </w:rPr>
        <w:t> </w:t>
      </w:r>
      <w:r>
        <w:rPr>
          <w:color w:val="6E6158"/>
        </w:rPr>
        <w:t>or</w:t>
      </w:r>
      <w:r>
        <w:rPr>
          <w:color w:val="6E6158"/>
          <w:spacing w:val="9"/>
        </w:rPr>
        <w:t> </w:t>
      </w:r>
      <w:r>
        <w:rPr>
          <w:color w:val="6E6158"/>
        </w:rPr>
        <w:t>creditor,</w:t>
      </w:r>
      <w:r>
        <w:rPr>
          <w:color w:val="6E6158"/>
          <w:spacing w:val="8"/>
        </w:rPr>
        <w:t> </w:t>
      </w: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can</w:t>
      </w:r>
      <w:r>
        <w:rPr>
          <w:color w:val="6E6158"/>
          <w:spacing w:val="9"/>
        </w:rPr>
        <w:t> </w:t>
      </w:r>
      <w:r>
        <w:rPr>
          <w:color w:val="6E6158"/>
        </w:rPr>
        <w:t>help</w:t>
      </w:r>
      <w:r>
        <w:rPr>
          <w:color w:val="6E6158"/>
          <w:spacing w:val="9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all</w:t>
      </w:r>
      <w:r>
        <w:rPr>
          <w:color w:val="6E6158"/>
          <w:spacing w:val="9"/>
        </w:rPr>
        <w:t> </w:t>
      </w:r>
      <w:r>
        <w:rPr>
          <w:color w:val="6E6158"/>
        </w:rPr>
        <w:t>aspects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structuring,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negotiating,</w:t>
      </w:r>
    </w:p>
    <w:p>
      <w:pPr>
        <w:pStyle w:val="BodyText"/>
        <w:spacing w:line="292" w:lineRule="auto" w:before="52"/>
        <w:ind w:right="421"/>
      </w:pPr>
      <w:r>
        <w:rPr>
          <w:color w:val="6E6158"/>
        </w:rPr>
        <w:t>documenting,</w:t>
      </w:r>
      <w:r>
        <w:rPr>
          <w:color w:val="6E6158"/>
          <w:spacing w:val="19"/>
        </w:rPr>
        <w:t> </w:t>
      </w:r>
      <w:r>
        <w:rPr>
          <w:color w:val="6E6158"/>
        </w:rPr>
        <w:t>closing,</w:t>
      </w:r>
      <w:r>
        <w:rPr>
          <w:color w:val="6E6158"/>
          <w:spacing w:val="19"/>
        </w:rPr>
        <w:t> </w:t>
      </w:r>
      <w:r>
        <w:rPr>
          <w:color w:val="6E6158"/>
        </w:rPr>
        <w:t>administering,</w:t>
      </w:r>
      <w:r>
        <w:rPr>
          <w:color w:val="6E6158"/>
          <w:spacing w:val="19"/>
        </w:rPr>
        <w:t> </w:t>
      </w:r>
      <w:r>
        <w:rPr>
          <w:color w:val="6E6158"/>
        </w:rPr>
        <w:t>restructuring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working</w:t>
      </w:r>
      <w:r>
        <w:rPr>
          <w:color w:val="6E6158"/>
          <w:spacing w:val="19"/>
        </w:rPr>
        <w:t> </w:t>
      </w:r>
      <w:r>
        <w:rPr>
          <w:color w:val="6E6158"/>
        </w:rPr>
        <w:t>out</w:t>
      </w:r>
      <w:r>
        <w:rPr>
          <w:color w:val="6E6158"/>
          <w:spacing w:val="19"/>
        </w:rPr>
        <w:t> </w:t>
      </w:r>
      <w:r>
        <w:rPr>
          <w:color w:val="6E6158"/>
        </w:rPr>
        <w:t>loans.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real</w:t>
      </w:r>
      <w:r>
        <w:rPr>
          <w:color w:val="6E6158"/>
          <w:spacing w:val="19"/>
        </w:rPr>
        <w:t> </w:t>
      </w:r>
      <w:r>
        <w:rPr>
          <w:color w:val="6E6158"/>
        </w:rPr>
        <w:t>property</w:t>
      </w:r>
      <w:r>
        <w:rPr>
          <w:color w:val="6E6158"/>
          <w:spacing w:val="19"/>
        </w:rPr>
        <w:t> </w:t>
      </w:r>
      <w:r>
        <w:rPr>
          <w:color w:val="6E6158"/>
        </w:rPr>
        <w:t>team is</w:t>
      </w:r>
      <w:r>
        <w:rPr>
          <w:color w:val="6E6158"/>
          <w:spacing w:val="27"/>
        </w:rPr>
        <w:t> </w:t>
      </w:r>
      <w:r>
        <w:rPr>
          <w:color w:val="6E6158"/>
        </w:rPr>
        <w:t>experienced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California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lending</w:t>
      </w:r>
      <w:r>
        <w:rPr>
          <w:color w:val="6E6158"/>
          <w:spacing w:val="27"/>
        </w:rPr>
        <w:t> </w:t>
      </w:r>
      <w:r>
        <w:rPr>
          <w:color w:val="6E6158"/>
        </w:rPr>
        <w:t>law,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can</w:t>
      </w:r>
      <w:r>
        <w:rPr>
          <w:color w:val="6E6158"/>
          <w:spacing w:val="27"/>
        </w:rPr>
        <w:t> </w:t>
      </w:r>
      <w:r>
        <w:rPr>
          <w:color w:val="6E6158"/>
        </w:rPr>
        <w:t>advise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matters</w:t>
      </w:r>
      <w:r>
        <w:rPr>
          <w:color w:val="6E6158"/>
          <w:spacing w:val="27"/>
        </w:rPr>
        <w:t> </w:t>
      </w:r>
      <w:r>
        <w:rPr>
          <w:color w:val="6E6158"/>
        </w:rPr>
        <w:t>related</w:t>
      </w:r>
      <w:r>
        <w:rPr>
          <w:color w:val="6E6158"/>
          <w:spacing w:val="27"/>
        </w:rPr>
        <w:t> </w:t>
      </w:r>
      <w:r>
        <w:rPr>
          <w:color w:val="6E6158"/>
        </w:rPr>
        <w:t>to:</w:t>
      </w:r>
    </w:p>
    <w:p>
      <w:pPr>
        <w:pStyle w:val="BodyText"/>
        <w:spacing w:line="422" w:lineRule="auto" w:before="196"/>
        <w:ind w:right="7551"/>
      </w:pPr>
      <w:r>
        <w:rPr>
          <w:color w:val="6E6158"/>
        </w:rPr>
        <w:t>Collateral </w:t>
      </w:r>
      <w:r>
        <w:rPr>
          <w:color w:val="6E6158"/>
        </w:rPr>
        <w:t>protection Debt realization Lender liability</w:t>
      </w:r>
    </w:p>
    <w:p>
      <w:pPr>
        <w:pStyle w:val="BodyText"/>
        <w:spacing w:line="295" w:lineRule="auto" w:before="121"/>
        <w:ind w:right="733"/>
      </w:pPr>
      <w:r>
        <w:rPr>
          <w:color w:val="6E6158"/>
        </w:rPr>
        <w:t>We can also help on matters regarding California anti-deficiency and “one action” rules on</w:t>
      </w:r>
      <w:r>
        <w:rPr>
          <w:color w:val="6E6158"/>
          <w:spacing w:val="40"/>
        </w:rPr>
        <w:t> </w:t>
      </w:r>
      <w:r>
        <w:rPr>
          <w:color w:val="6E6158"/>
        </w:rPr>
        <w:t>proposed and existing debt structures. We routinely advise on the structuring of transactions and</w:t>
      </w:r>
      <w:r>
        <w:rPr>
          <w:color w:val="6E6158"/>
          <w:spacing w:val="40"/>
        </w:rPr>
        <w:t> </w:t>
      </w:r>
      <w:r>
        <w:rPr>
          <w:color w:val="6E6158"/>
        </w:rPr>
        <w:t>preparing security documents that</w:t>
      </w:r>
      <w:r>
        <w:rPr>
          <w:color w:val="6E6158"/>
          <w:spacing w:val="36"/>
        </w:rPr>
        <w:t> </w:t>
      </w:r>
      <w:r>
        <w:rPr>
          <w:color w:val="6E6158"/>
        </w:rPr>
        <w:t>minimize tax impacts</w:t>
      </w:r>
      <w:r>
        <w:rPr>
          <w:color w:val="6E6158"/>
          <w:spacing w:val="36"/>
        </w:rPr>
        <w:t> </w:t>
      </w:r>
      <w:r>
        <w:rPr>
          <w:color w:val="6E6158"/>
        </w:rPr>
        <w:t>and maximize the availability of</w:t>
      </w:r>
      <w:r>
        <w:rPr>
          <w:color w:val="6E6158"/>
          <w:spacing w:val="40"/>
        </w:rPr>
        <w:t> </w:t>
      </w:r>
      <w:r>
        <w:rPr>
          <w:color w:val="6E6158"/>
        </w:rPr>
        <w:t>collateral in the event of default.</w:t>
      </w:r>
    </w:p>
    <w:p>
      <w:pPr>
        <w:pStyle w:val="Heading1"/>
        <w:spacing w:before="163"/>
      </w:pPr>
      <w:r>
        <w:rPr>
          <w:color w:val="FF8100"/>
        </w:rPr>
        <w:t>JOINT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VENTURES</w:t>
      </w:r>
    </w:p>
    <w:p>
      <w:pPr>
        <w:pStyle w:val="BodyText"/>
        <w:spacing w:line="302" w:lineRule="auto" w:before="146"/>
        <w:ind w:right="733"/>
      </w:pPr>
      <w:r>
        <w:rPr>
          <w:color w:val="6E6158"/>
        </w:rPr>
        <w:t>In complement with our tax and corporate attorneys, our firm offers California, Nevada,</w:t>
      </w:r>
      <w:r>
        <w:rPr>
          <w:color w:val="6E6158"/>
          <w:spacing w:val="40"/>
        </w:rPr>
        <w:t> </w:t>
      </w:r>
      <w:r>
        <w:rPr>
          <w:color w:val="6E6158"/>
        </w:rPr>
        <w:t>Delaware and foreign companies a broad range of services including:</w:t>
      </w:r>
    </w:p>
    <w:p>
      <w:pPr>
        <w:pStyle w:val="BodyText"/>
        <w:spacing w:line="420" w:lineRule="auto" w:before="186"/>
        <w:ind w:right="2434"/>
      </w:pPr>
      <w:r>
        <w:rPr>
          <w:color w:val="6E6158"/>
        </w:rPr>
        <w:t>Structuring development and investment activities and </w:t>
      </w:r>
      <w:r>
        <w:rPr>
          <w:color w:val="6E6158"/>
        </w:rPr>
        <w:t>entities Implementation of business plans</w:t>
      </w:r>
    </w:p>
    <w:p>
      <w:pPr>
        <w:pStyle w:val="BodyText"/>
        <w:spacing w:before="7"/>
      </w:pPr>
      <w:r>
        <w:rPr>
          <w:color w:val="6E6158"/>
        </w:rPr>
        <w:t>Fundamental</w:t>
      </w:r>
      <w:r>
        <w:rPr>
          <w:color w:val="6E6158"/>
          <w:spacing w:val="20"/>
        </w:rPr>
        <w:t> </w:t>
      </w:r>
      <w:r>
        <w:rPr>
          <w:color w:val="6E6158"/>
        </w:rPr>
        <w:t>business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formations</w:t>
      </w:r>
    </w:p>
    <w:p>
      <w:pPr>
        <w:pStyle w:val="BodyText"/>
        <w:spacing w:before="63"/>
        <w:ind w:left="0"/>
      </w:pPr>
    </w:p>
    <w:p>
      <w:pPr>
        <w:pStyle w:val="BodyText"/>
        <w:spacing w:line="292" w:lineRule="auto"/>
        <w:ind w:right="733"/>
      </w:pPr>
      <w:r>
        <w:rPr>
          <w:color w:val="6E6158"/>
        </w:rPr>
        <w:t>We advise on a broad array of entity choices, including joint ventures, limited partnerships,</w:t>
      </w:r>
      <w:r>
        <w:rPr>
          <w:color w:val="6E6158"/>
          <w:spacing w:val="40"/>
        </w:rPr>
        <w:t>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corporations.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partnership,</w:t>
      </w:r>
      <w:r>
        <w:rPr>
          <w:color w:val="6E6158"/>
          <w:spacing w:val="40"/>
        </w:rPr>
        <w:t> </w:t>
      </w:r>
      <w:r>
        <w:rPr>
          <w:color w:val="6E6158"/>
        </w:rPr>
        <w:t>collaboration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equity</w:t>
      </w:r>
    </w:p>
    <w:p>
      <w:pPr>
        <w:pStyle w:val="BodyText"/>
        <w:spacing w:line="302" w:lineRule="auto" w:before="1"/>
      </w:pPr>
      <w:r>
        <w:rPr>
          <w:color w:val="6E6158"/>
        </w:rPr>
        <w:t>investment of our clients has significant, business and legal ramifications, and our attorneys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26"/>
        </w:rPr>
        <w:t> </w:t>
      </w:r>
      <w:r>
        <w:rPr>
          <w:color w:val="6E6158"/>
        </w:rPr>
        <w:t>experience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assisting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realization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their</w:t>
      </w:r>
      <w:r>
        <w:rPr>
          <w:color w:val="6E6158"/>
          <w:spacing w:val="26"/>
        </w:rPr>
        <w:t> </w:t>
      </w:r>
      <w:r>
        <w:rPr>
          <w:color w:val="6E6158"/>
        </w:rPr>
        <w:t>financial,</w:t>
      </w:r>
      <w:r>
        <w:rPr>
          <w:color w:val="6E6158"/>
          <w:spacing w:val="26"/>
        </w:rPr>
        <w:t> </w:t>
      </w:r>
      <w:r>
        <w:rPr>
          <w:color w:val="6E6158"/>
        </w:rPr>
        <w:t>operations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tax</w:t>
      </w:r>
      <w:r>
        <w:rPr>
          <w:color w:val="6E6158"/>
          <w:spacing w:val="26"/>
        </w:rPr>
        <w:t> </w:t>
      </w:r>
      <w:r>
        <w:rPr>
          <w:color w:val="6E6158"/>
        </w:rPr>
        <w:t>goals.</w:t>
      </w:r>
    </w:p>
    <w:p>
      <w:pPr>
        <w:pStyle w:val="Heading1"/>
        <w:spacing w:before="152"/>
      </w:pPr>
      <w:r>
        <w:rPr>
          <w:color w:val="FF8100"/>
        </w:rPr>
        <w:t>RESTRUCTURES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WORKOUTS</w:t>
      </w:r>
    </w:p>
    <w:p>
      <w:pPr>
        <w:pStyle w:val="BodyText"/>
        <w:spacing w:line="292" w:lineRule="auto" w:before="147"/>
      </w:pPr>
      <w:r>
        <w:rPr>
          <w:color w:val="6E6158"/>
        </w:rPr>
        <w:t>When it comes to restructuring and workouts, we routinely advise distressed property owners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investors throughout California.</w:t>
      </w:r>
    </w:p>
    <w:p>
      <w:pPr>
        <w:pStyle w:val="BodyText"/>
        <w:spacing w:before="196"/>
      </w:pP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team</w:t>
      </w:r>
      <w:r>
        <w:rPr>
          <w:color w:val="6E6158"/>
          <w:spacing w:val="12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broad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in:</w:t>
      </w:r>
    </w:p>
    <w:p>
      <w:pPr>
        <w:pStyle w:val="BodyText"/>
        <w:spacing w:before="23"/>
        <w:ind w:left="0"/>
      </w:pPr>
    </w:p>
    <w:p>
      <w:pPr>
        <w:pStyle w:val="BodyText"/>
        <w:spacing w:line="420" w:lineRule="auto"/>
        <w:ind w:right="4618"/>
      </w:pPr>
      <w:r>
        <w:rPr>
          <w:color w:val="6E6158"/>
        </w:rPr>
        <w:t>Transactional and insolvency/restructuring </w:t>
      </w:r>
      <w:r>
        <w:rPr>
          <w:color w:val="6E6158"/>
        </w:rPr>
        <w:t>matters Negotiation and pre-litigation counseling</w:t>
      </w:r>
    </w:p>
    <w:p>
      <w:pPr>
        <w:pStyle w:val="BodyText"/>
        <w:spacing w:line="427" w:lineRule="auto"/>
        <w:ind w:right="6085"/>
      </w:pPr>
      <w:r>
        <w:rPr>
          <w:color w:val="6E6158"/>
        </w:rPr>
        <w:t>Debtors’ and creditors’ </w:t>
      </w:r>
      <w:r>
        <w:rPr>
          <w:color w:val="6E6158"/>
        </w:rPr>
        <w:t>rights Remedies and tax planning</w:t>
      </w:r>
    </w:p>
    <w:p>
      <w:pPr>
        <w:pStyle w:val="BodyText"/>
        <w:spacing w:after="0" w:line="427" w:lineRule="auto"/>
        <w:sectPr>
          <w:pgSz w:w="12240" w:h="15840"/>
          <w:pgMar w:top="580" w:bottom="280" w:left="1080" w:right="1080"/>
        </w:sectPr>
      </w:pPr>
    </w:p>
    <w:p>
      <w:pPr>
        <w:pStyle w:val="BodyText"/>
        <w:spacing w:line="292" w:lineRule="auto" w:before="83"/>
        <w:ind w:right="512"/>
      </w:pPr>
      <w:r>
        <w:rPr>
          <w:color w:val="6E6158"/>
        </w:rPr>
        <w:t>We strive to provide the best business and tax strategies for our clients while maintaining flexibility</w:t>
      </w:r>
      <w:r>
        <w:rPr>
          <w:color w:val="6E6158"/>
          <w:spacing w:val="40"/>
        </w:rPr>
        <w:t> </w:t>
      </w:r>
      <w:r>
        <w:rPr>
          <w:color w:val="6E6158"/>
        </w:rPr>
        <w:t>should litigation or insolvency prove necessary.</w:t>
      </w:r>
    </w:p>
    <w:p>
      <w:pPr>
        <w:pStyle w:val="Heading1"/>
        <w:spacing w:before="171"/>
      </w:pPr>
      <w:r>
        <w:rPr>
          <w:color w:val="FF8100"/>
        </w:rPr>
        <w:t>RECENT</w:t>
      </w:r>
      <w:r>
        <w:rPr>
          <w:color w:val="FF8100"/>
          <w:spacing w:val="14"/>
        </w:rPr>
        <w:t> </w:t>
      </w:r>
      <w:r>
        <w:rPr>
          <w:color w:val="FF8100"/>
        </w:rPr>
        <w:t>REPRESENTATIVE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  <w:ind w:right="733"/>
      </w:pPr>
      <w:r>
        <w:rPr>
          <w:color w:val="6E6158"/>
        </w:rPr>
        <w:t>Fennemore’s Sacramento real estate attorneys hves advised a wide range of clients as part of</w:t>
      </w:r>
      <w:r>
        <w:rPr>
          <w:color w:val="6E6158"/>
          <w:spacing w:val="40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services</w:t>
      </w:r>
      <w:r>
        <w:rPr>
          <w:color w:val="6E6158"/>
          <w:spacing w:val="31"/>
        </w:rPr>
        <w:t> </w:t>
      </w:r>
      <w:r>
        <w:rPr>
          <w:color w:val="6E6158"/>
        </w:rPr>
        <w:t>over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last</w:t>
      </w:r>
      <w:r>
        <w:rPr>
          <w:color w:val="6E6158"/>
          <w:spacing w:val="31"/>
        </w:rPr>
        <w:t> </w:t>
      </w:r>
      <w:r>
        <w:rPr>
          <w:color w:val="6E6158"/>
        </w:rPr>
        <w:t>three</w:t>
      </w:r>
      <w:r>
        <w:rPr>
          <w:color w:val="6E6158"/>
          <w:spacing w:val="31"/>
        </w:rPr>
        <w:t> </w:t>
      </w:r>
      <w:r>
        <w:rPr>
          <w:color w:val="6E6158"/>
        </w:rPr>
        <w:t>decades.</w:t>
      </w:r>
      <w:r>
        <w:rPr>
          <w:color w:val="6E6158"/>
          <w:spacing w:val="31"/>
        </w:rPr>
        <w:t> </w:t>
      </w:r>
      <w:r>
        <w:rPr>
          <w:color w:val="6E6158"/>
        </w:rPr>
        <w:t>Noteworthy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included:</w:t>
      </w:r>
    </w:p>
    <w:p>
      <w:pPr>
        <w:pStyle w:val="BodyText"/>
        <w:spacing w:line="297" w:lineRule="auto" w:before="196"/>
        <w:ind w:right="512"/>
      </w:pPr>
      <w:r>
        <w:rPr>
          <w:color w:val="6E6158"/>
        </w:rPr>
        <w:t>Developers and builders on multiple joint ventures with institutional real estate funds and others</w:t>
      </w:r>
      <w:r>
        <w:rPr>
          <w:color w:val="6E6158"/>
          <w:spacing w:val="40"/>
        </w:rPr>
        <w:t> </w:t>
      </w:r>
      <w:r>
        <w:rPr>
          <w:color w:val="6E6158"/>
        </w:rPr>
        <w:t>concerning acquisitions, construction and sales of residential and office properties ranging in </w:t>
      </w:r>
      <w:r>
        <w:rPr>
          <w:color w:val="6E6158"/>
        </w:rPr>
        <w:t>size</w:t>
      </w:r>
      <w:r>
        <w:rPr>
          <w:color w:val="6E6158"/>
          <w:spacing w:val="40"/>
        </w:rPr>
        <w:t> </w:t>
      </w:r>
      <w:r>
        <w:rPr>
          <w:color w:val="6E6158"/>
        </w:rPr>
        <w:t>from $1 million to $1,000,000,000.</w:t>
      </w:r>
    </w:p>
    <w:p>
      <w:pPr>
        <w:pStyle w:val="BodyText"/>
        <w:spacing w:line="292" w:lineRule="auto" w:before="118"/>
      </w:pPr>
      <w:r>
        <w:rPr>
          <w:color w:val="6E6158"/>
        </w:rPr>
        <w:t>An owner and operator of skilled nursing facilities throughout California and Utah on its financing,</w:t>
      </w:r>
      <w:r>
        <w:rPr>
          <w:color w:val="6E6158"/>
          <w:spacing w:val="40"/>
        </w:rPr>
        <w:t> </w:t>
      </w:r>
      <w:r>
        <w:rPr>
          <w:color w:val="6E6158"/>
        </w:rPr>
        <w:t>acquisition, lease, sale and tax structuring of its facilities.</w:t>
      </w:r>
    </w:p>
    <w:p>
      <w:pPr>
        <w:pStyle w:val="BodyText"/>
        <w:spacing w:line="302" w:lineRule="auto" w:before="123"/>
      </w:pPr>
      <w:r>
        <w:rPr>
          <w:color w:val="6E6158"/>
        </w:rPr>
        <w:t>An owner and manager of California and Nevada shopping centers on multiple loan</w:t>
      </w:r>
      <w:r>
        <w:rPr>
          <w:color w:val="6E6158"/>
          <w:spacing w:val="40"/>
        </w:rPr>
        <w:t> </w:t>
      </w:r>
      <w:r>
        <w:rPr>
          <w:color w:val="6E6158"/>
        </w:rPr>
        <w:t>restructurings/workouts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$80</w:t>
      </w:r>
      <w:r>
        <w:rPr>
          <w:color w:val="6E6158"/>
          <w:spacing w:val="14"/>
        </w:rPr>
        <w:t> </w:t>
      </w:r>
      <w:r>
        <w:rPr>
          <w:color w:val="6E6158"/>
        </w:rPr>
        <w:t>million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secured</w:t>
      </w:r>
      <w:r>
        <w:rPr>
          <w:color w:val="6E6158"/>
          <w:spacing w:val="14"/>
        </w:rPr>
        <w:t> </w:t>
      </w:r>
      <w:r>
        <w:rPr>
          <w:color w:val="6E6158"/>
        </w:rPr>
        <w:t>loans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various</w:t>
      </w:r>
      <w:r>
        <w:rPr>
          <w:color w:val="6E6158"/>
          <w:spacing w:val="14"/>
        </w:rPr>
        <w:t> </w:t>
      </w:r>
      <w:r>
        <w:rPr>
          <w:color w:val="6E6158"/>
        </w:rPr>
        <w:t>institutional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lenders.</w:t>
      </w:r>
    </w:p>
    <w:p>
      <w:pPr>
        <w:pStyle w:val="BodyText"/>
        <w:spacing w:line="292" w:lineRule="auto" w:before="113"/>
        <w:ind w:right="733"/>
      </w:pPr>
      <w:r>
        <w:rPr>
          <w:color w:val="6E6158"/>
        </w:rPr>
        <w:t>A Bay Area investor on the purchase and financing of 400 plus unit apartment complex in</w:t>
      </w:r>
      <w:r>
        <w:rPr>
          <w:color w:val="6E6158"/>
          <w:spacing w:val="40"/>
        </w:rPr>
        <w:t> </w:t>
      </w:r>
      <w:r>
        <w:rPr>
          <w:color w:val="6E6158"/>
        </w:rPr>
        <w:t>Phoenix, Arizona.</w:t>
      </w:r>
    </w:p>
    <w:p>
      <w:pPr>
        <w:pStyle w:val="BodyText"/>
        <w:spacing w:line="292" w:lineRule="auto" w:before="132"/>
        <w:ind w:right="762"/>
      </w:pPr>
      <w:r>
        <w:rPr>
          <w:color w:val="6E6158"/>
        </w:rPr>
        <w:t>A Sacramento developer and home builder on its purchase and entitlement of various paper</w:t>
      </w:r>
      <w:r>
        <w:rPr>
          <w:color w:val="6E6158"/>
          <w:spacing w:val="40"/>
        </w:rPr>
        <w:t> </w:t>
      </w:r>
      <w:r>
        <w:rPr>
          <w:color w:val="6E6158"/>
        </w:rPr>
        <w:t>lots and finished lots in Sacramento, Reno and Monterey.</w:t>
      </w:r>
    </w:p>
    <w:p>
      <w:pPr>
        <w:pStyle w:val="BodyText"/>
        <w:spacing w:line="297" w:lineRule="auto" w:before="123"/>
        <w:ind w:right="512"/>
      </w:pPr>
      <w:r>
        <w:rPr>
          <w:color w:val="6E6158"/>
        </w:rPr>
        <w:t>A Central California developer in structuring a joint venture relationship with co-developer and</w:t>
      </w:r>
      <w:r>
        <w:rPr>
          <w:color w:val="6E6158"/>
          <w:spacing w:val="40"/>
        </w:rPr>
        <w:t> </w:t>
      </w:r>
      <w:r>
        <w:rPr>
          <w:color w:val="6E6158"/>
        </w:rPr>
        <w:t>equity investor for the acquisition, entitlement and development of mixed use for sale and </w:t>
      </w:r>
      <w:r>
        <w:rPr>
          <w:color w:val="6E6158"/>
        </w:rPr>
        <w:t>rental</w:t>
      </w:r>
      <w:r>
        <w:rPr>
          <w:color w:val="6E6158"/>
          <w:spacing w:val="40"/>
        </w:rPr>
        <w:t> </w:t>
      </w:r>
      <w:r>
        <w:rPr>
          <w:color w:val="6E6158"/>
        </w:rPr>
        <w:t>housing developments throughout the Pacific Northwest.</w:t>
      </w:r>
    </w:p>
    <w:p>
      <w:pPr>
        <w:pStyle w:val="BodyText"/>
        <w:spacing w:line="292" w:lineRule="auto" w:before="118"/>
        <w:ind w:right="733"/>
      </w:pPr>
      <w:r>
        <w:rPr>
          <w:color w:val="6E6158"/>
        </w:rPr>
        <w:t>A Sacramento valley water district on the construction and maintenance of facilities,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transfer of water rights.</w:t>
      </w:r>
    </w:p>
    <w:p>
      <w:pPr>
        <w:pStyle w:val="BodyText"/>
        <w:spacing w:line="302" w:lineRule="auto" w:before="123"/>
        <w:ind w:right="733"/>
      </w:pPr>
      <w:r>
        <w:rPr>
          <w:color w:val="6E6158"/>
        </w:rPr>
        <w:t>A Bay Area investor in the negotiation and purchase of real estate mortgage notes secured by</w:t>
      </w:r>
      <w:r>
        <w:rPr>
          <w:color w:val="6E6158"/>
          <w:spacing w:val="40"/>
        </w:rPr>
        <w:t> </w:t>
      </w:r>
      <w:r>
        <w:rPr>
          <w:color w:val="6E6158"/>
        </w:rPr>
        <w:t>various commercial properties ranging from $1 million to $50 million.</w:t>
      </w:r>
    </w:p>
    <w:p>
      <w:pPr>
        <w:pStyle w:val="BodyText"/>
        <w:spacing w:line="292" w:lineRule="auto" w:before="113"/>
      </w:pPr>
      <w:r>
        <w:rPr>
          <w:color w:val="6E6158"/>
        </w:rPr>
        <w:t>A TIC/debtor in connection with bankruptcy restructuring of ownership and financing of </w:t>
      </w:r>
      <w:r>
        <w:rPr>
          <w:color w:val="6E6158"/>
        </w:rPr>
        <w:t>projects</w:t>
      </w:r>
      <w:r>
        <w:rPr>
          <w:color w:val="6E6158"/>
          <w:spacing w:val="40"/>
        </w:rPr>
        <w:t> </w:t>
      </w:r>
      <w:r>
        <w:rPr>
          <w:color w:val="6E6158"/>
        </w:rPr>
        <w:t>throughout California.</w:t>
      </w:r>
    </w:p>
    <w:p>
      <w:pPr>
        <w:pStyle w:val="BodyText"/>
        <w:spacing w:line="302" w:lineRule="auto" w:before="123"/>
        <w:ind w:right="733"/>
      </w:pPr>
      <w:r>
        <w:rPr>
          <w:color w:val="6E6158"/>
        </w:rPr>
        <w:t>Investment property owners in connection with 1031 exchanges ranging from $1 million to </w:t>
      </w:r>
      <w:r>
        <w:rPr>
          <w:color w:val="6E6158"/>
        </w:rPr>
        <w:t>$100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million.</w:t>
      </w:r>
    </w:p>
    <w:p>
      <w:pPr>
        <w:pStyle w:val="BodyText"/>
        <w:spacing w:line="292" w:lineRule="auto" w:before="113"/>
        <w:ind w:right="733"/>
      </w:pPr>
      <w:r>
        <w:rPr>
          <w:color w:val="6E6158"/>
        </w:rPr>
        <w:t>The structuring, tax planning and organization of affiliated companies in the manufacturing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retail of building products.</w:t>
      </w:r>
    </w:p>
    <w:p>
      <w:pPr>
        <w:pStyle w:val="BodyText"/>
        <w:spacing w:before="131"/>
      </w:pP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private</w:t>
      </w:r>
      <w:r>
        <w:rPr>
          <w:color w:val="6E6158"/>
          <w:spacing w:val="13"/>
        </w:rPr>
        <w:t> </w:t>
      </w:r>
      <w:r>
        <w:rPr>
          <w:color w:val="6E6158"/>
        </w:rPr>
        <w:t>placement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partnership</w:t>
      </w:r>
      <w:r>
        <w:rPr>
          <w:color w:val="6E6158"/>
          <w:spacing w:val="14"/>
        </w:rPr>
        <w:t> </w:t>
      </w:r>
      <w:r>
        <w:rPr>
          <w:color w:val="6E6158"/>
        </w:rPr>
        <w:t>interests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fitness</w:t>
      </w:r>
      <w:r>
        <w:rPr>
          <w:color w:val="6E6158"/>
          <w:spacing w:val="13"/>
        </w:rPr>
        <w:t> </w:t>
      </w:r>
      <w:r>
        <w:rPr>
          <w:color w:val="6E6158"/>
        </w:rPr>
        <w:t>club/gym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operator.</w:t>
      </w:r>
    </w:p>
    <w:p>
      <w:pPr>
        <w:pStyle w:val="BodyText"/>
        <w:spacing w:line="292" w:lineRule="auto" w:before="174"/>
      </w:pPr>
      <w:r>
        <w:rPr>
          <w:color w:val="6E6158"/>
        </w:rPr>
        <w:t>A Northern California owner and operator of gas stations/convenience stores on the sale of its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properties/business.</w:t>
      </w:r>
    </w:p>
    <w:p>
      <w:pPr>
        <w:pStyle w:val="BodyText"/>
        <w:spacing w:before="124"/>
      </w:pP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owner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Nevada</w:t>
      </w:r>
      <w:r>
        <w:rPr>
          <w:color w:val="6E6158"/>
          <w:spacing w:val="9"/>
        </w:rPr>
        <w:t> </w:t>
      </w:r>
      <w:r>
        <w:rPr>
          <w:color w:val="6E6158"/>
        </w:rPr>
        <w:t>mining</w:t>
      </w:r>
      <w:r>
        <w:rPr>
          <w:color w:val="6E6158"/>
          <w:spacing w:val="10"/>
        </w:rPr>
        <w:t> </w:t>
      </w:r>
      <w:r>
        <w:rPr>
          <w:color w:val="6E6158"/>
        </w:rPr>
        <w:t>claims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lease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sale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silica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gold</w:t>
      </w:r>
      <w:r>
        <w:rPr>
          <w:color w:val="6E6158"/>
          <w:spacing w:val="10"/>
        </w:rPr>
        <w:t> </w:t>
      </w:r>
      <w:r>
        <w:rPr>
          <w:color w:val="6E6158"/>
        </w:rPr>
        <w:t>mining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292" w:lineRule="auto" w:before="182"/>
        <w:ind w:right="733"/>
      </w:pPr>
      <w:r>
        <w:rPr>
          <w:color w:val="6E6158"/>
        </w:rPr>
        <w:t>An investor with the lease analysis, title review and policy negotiation, and acquisition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financing of various office complexes in the Sacramento region.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002E6B"/>
        </w:rPr>
        <w:t>SACRAMENTO</w:t>
      </w:r>
      <w:r>
        <w:rPr>
          <w:color w:val="002E6B"/>
          <w:spacing w:val="17"/>
        </w:rPr>
        <w:t> </w:t>
      </w:r>
      <w:r>
        <w:rPr>
          <w:color w:val="002E6B"/>
          <w:spacing w:val="-2"/>
        </w:rPr>
        <w:t>LOCATION</w:t>
      </w:r>
    </w:p>
    <w:p>
      <w:pPr>
        <w:pStyle w:val="BodyText"/>
        <w:spacing w:before="147"/>
      </w:pPr>
      <w:r>
        <w:rPr>
          <w:color w:val="6E6158"/>
        </w:rPr>
        <w:t>10640</w:t>
      </w:r>
      <w:r>
        <w:rPr>
          <w:color w:val="6E6158"/>
          <w:spacing w:val="7"/>
        </w:rPr>
        <w:t> </w:t>
      </w:r>
      <w:r>
        <w:rPr>
          <w:color w:val="6E6158"/>
        </w:rPr>
        <w:t>Mather</w:t>
      </w:r>
      <w:r>
        <w:rPr>
          <w:color w:val="6E6158"/>
          <w:spacing w:val="7"/>
        </w:rPr>
        <w:t> </w:t>
      </w:r>
      <w:r>
        <w:rPr>
          <w:color w:val="6E6158"/>
        </w:rPr>
        <w:t>Blvd</w:t>
      </w:r>
      <w:r>
        <w:rPr>
          <w:color w:val="6E6158"/>
          <w:spacing w:val="7"/>
        </w:rPr>
        <w:t> </w:t>
      </w:r>
      <w:r>
        <w:rPr>
          <w:color w:val="6E6158"/>
        </w:rPr>
        <w:t>STE</w:t>
      </w:r>
      <w:r>
        <w:rPr>
          <w:color w:val="6E6158"/>
          <w:spacing w:val="7"/>
        </w:rPr>
        <w:t> </w:t>
      </w:r>
      <w:r>
        <w:rPr>
          <w:color w:val="6E6158"/>
        </w:rPr>
        <w:t>200,</w:t>
      </w:r>
      <w:r>
        <w:rPr>
          <w:color w:val="6E6158"/>
          <w:spacing w:val="8"/>
        </w:rPr>
        <w:t> </w:t>
      </w:r>
      <w:r>
        <w:rPr>
          <w:color w:val="6E6158"/>
        </w:rPr>
        <w:t>Mather,</w:t>
      </w:r>
      <w:r>
        <w:rPr>
          <w:color w:val="6E6158"/>
          <w:spacing w:val="7"/>
        </w:rPr>
        <w:t> </w:t>
      </w:r>
      <w:r>
        <w:rPr>
          <w:color w:val="6E6158"/>
        </w:rPr>
        <w:t>CA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95655</w:t>
      </w:r>
    </w:p>
    <w:p>
      <w:pPr>
        <w:pStyle w:val="BodyText"/>
        <w:spacing w:before="6"/>
        <w:ind w:left="0"/>
      </w:pPr>
    </w:p>
    <w:p>
      <w:pPr>
        <w:spacing w:before="0"/>
        <w:ind w:left="459" w:right="0" w:firstLine="0"/>
        <w:jc w:val="left"/>
        <w:rPr>
          <w:b/>
          <w:sz w:val="23"/>
        </w:rPr>
      </w:pPr>
      <w:r>
        <w:rPr>
          <w:b/>
          <w:color w:val="6E6158"/>
          <w:spacing w:val="-2"/>
          <w:sz w:val="23"/>
        </w:rPr>
        <w:t>Phone:</w:t>
      </w:r>
      <w:r>
        <w:rPr>
          <w:b/>
          <w:color w:val="6E6158"/>
          <w:spacing w:val="9"/>
          <w:sz w:val="23"/>
        </w:rPr>
        <w:t> </w:t>
      </w:r>
      <w:r>
        <w:rPr>
          <w:b/>
          <w:color w:val="6E6158"/>
          <w:spacing w:val="-2"/>
          <w:sz w:val="23"/>
        </w:rPr>
        <w:t>916-920-</w:t>
      </w:r>
      <w:r>
        <w:rPr>
          <w:b/>
          <w:color w:val="6E6158"/>
          <w:spacing w:val="-4"/>
          <w:sz w:val="23"/>
        </w:rPr>
        <w:t>5286</w:t>
      </w:r>
    </w:p>
    <w:p>
      <w:pPr>
        <w:spacing w:after="0"/>
        <w:jc w:val="left"/>
        <w:rPr>
          <w:b/>
          <w:sz w:val="23"/>
        </w:rPr>
        <w:sectPr>
          <w:pgSz w:w="12240" w:h="15840"/>
          <w:pgMar w:top="500" w:bottom="280" w:left="1080" w:right="1080"/>
        </w:sectPr>
      </w:pPr>
    </w:p>
    <w:p>
      <w:pPr>
        <w:pStyle w:val="BodyText"/>
        <w:spacing w:before="3"/>
        <w:ind w:left="0"/>
        <w:rPr>
          <w:b/>
          <w:sz w:val="16"/>
        </w:rPr>
      </w:pPr>
    </w:p>
    <w:sectPr>
      <w:pgSz w:w="12240" w:h="15840"/>
      <w:pgMar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fennemorelaw.com/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Real Estate - Fennemore</dc:title>
  <dcterms:created xsi:type="dcterms:W3CDTF">2026-06-12T09:20:01Z</dcterms:created>
  <dcterms:modified xsi:type="dcterms:W3CDTF">2026-06-12T09:20:01Z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