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m Efir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6437" y="1369338"/>
                            <a:ext cx="19177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0" h="320675">
                                <a:moveTo>
                                  <a:pt x="191707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17077" y="320382"/>
                                </a:lnTo>
                                <a:lnTo>
                                  <a:pt x="1917077" y="315214"/>
                                </a:lnTo>
                                <a:close/>
                              </a:path>
                              <a:path w="1917700" h="320675">
                                <a:moveTo>
                                  <a:pt x="1917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17077" y="5168"/>
                                </a:lnTo>
                                <a:lnTo>
                                  <a:pt x="191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94269" y="763308"/>
                            <a:ext cx="193167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SAMUEL 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EFIRD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2297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0881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1701" y="2226505"/>
                            <a:ext cx="1356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sefird@fennemorelaw.com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Sam Efird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99;top:-2501;width:3020;height:505" id="docshape5" coordorigin="7000,-2500" coordsize="3020,505" path="m10019,-2004l7000,-2004,7000,-1996,10019,-1996,10019,-2004xm10019,-2500l7000,-2500,7000,-2492,10019,-2492,10019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96;top:-3455;width:3042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SAMUEL 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EFIRD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5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602.916.5340</w:t>
                        </w:r>
                      </w:p>
                    </w:txbxContent>
                  </v:textbox>
                  <w10:wrap type="none"/>
                </v:shape>
                <v:shape style="position:absolute;left:873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602.916.5540</w:t>
                        </w:r>
                      </w:p>
                    </w:txbxContent>
                  </v:textbox>
                  <w10:wrap type="none"/>
                </v:shape>
                <v:shape style="position:absolute;left:7449;top:-1151;width:213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sefird@fennemorelaw.com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SAMUEL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S.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EFIRD</w:t>
      </w:r>
    </w:p>
    <w:p>
      <w:pPr>
        <w:pStyle w:val="BodyText"/>
        <w:spacing w:line="295" w:lineRule="auto" w:before="147"/>
        <w:ind w:right="243"/>
      </w:pPr>
      <w:r>
        <w:rPr>
          <w:color w:val="6E6158"/>
        </w:rPr>
        <w:t>Sam is a member of the firm’s business and finance practice group and focuses on general</w:t>
      </w:r>
      <w:r>
        <w:rPr>
          <w:color w:val="6E6158"/>
          <w:spacing w:val="40"/>
        </w:rPr>
        <w:t> </w:t>
      </w:r>
      <w:r>
        <w:rPr>
          <w:color w:val="6E6158"/>
        </w:rPr>
        <w:t>corporate law, entity formation and governance, mergers and acquisitions, and venture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transactions. He also helps clients navigate the tax implications of their business activities,</w:t>
      </w:r>
      <w:r>
        <w:rPr>
          <w:color w:val="6E6158"/>
          <w:spacing w:val="40"/>
        </w:rPr>
        <w:t> </w:t>
      </w:r>
      <w:r>
        <w:rPr>
          <w:color w:val="6E6158"/>
        </w:rPr>
        <w:t>particularly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it</w:t>
      </w:r>
      <w:r>
        <w:rPr>
          <w:color w:val="6E6158"/>
          <w:spacing w:val="33"/>
        </w:rPr>
        <w:t> </w:t>
      </w:r>
      <w:r>
        <w:rPr>
          <w:color w:val="6E6158"/>
        </w:rPr>
        <w:t>relates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forming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operating</w:t>
      </w:r>
      <w:r>
        <w:rPr>
          <w:color w:val="6E6158"/>
          <w:spacing w:val="33"/>
        </w:rPr>
        <w:t> </w:t>
      </w:r>
      <w:r>
        <w:rPr>
          <w:color w:val="6E6158"/>
        </w:rPr>
        <w:t>partnerships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limited</w:t>
      </w:r>
      <w:r>
        <w:rPr>
          <w:color w:val="6E6158"/>
          <w:spacing w:val="33"/>
        </w:rPr>
        <w:t> </w:t>
      </w:r>
      <w:r>
        <w:rPr>
          <w:color w:val="6E6158"/>
        </w:rPr>
        <w:t>liability</w:t>
      </w:r>
      <w:r>
        <w:rPr>
          <w:color w:val="6E6158"/>
          <w:spacing w:val="33"/>
        </w:rPr>
        <w:t> </w:t>
      </w:r>
      <w:r>
        <w:rPr>
          <w:color w:val="6E6158"/>
        </w:rPr>
        <w:t>companies.</w:t>
      </w:r>
    </w:p>
    <w:p>
      <w:pPr>
        <w:pStyle w:val="BodyText"/>
        <w:spacing w:line="292" w:lineRule="auto" w:before="205"/>
        <w:ind w:right="408"/>
      </w:pPr>
      <w:r>
        <w:rPr>
          <w:color w:val="6E6158"/>
        </w:rPr>
        <w:t>Prior to joining Fennemore, Sam worked for the United States Senate and Arizona Chamber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Commerce and Industry. He also externed with the State of Arizona Governor’s Office of</w:t>
      </w:r>
      <w:r>
        <w:rPr>
          <w:color w:val="6E6158"/>
          <w:spacing w:val="40"/>
        </w:rPr>
        <w:t> </w:t>
      </w:r>
      <w:r>
        <w:rPr>
          <w:color w:val="6E6158"/>
        </w:rPr>
        <w:t>General Counsel and the Maricopa County Attorney’s Office.</w:t>
      </w:r>
    </w:p>
    <w:p>
      <w:pPr>
        <w:pStyle w:val="BodyText"/>
        <w:spacing w:line="297" w:lineRule="auto" w:before="197"/>
        <w:ind w:right="271"/>
      </w:pPr>
      <w:r>
        <w:rPr>
          <w:color w:val="6E6158"/>
        </w:rPr>
        <w:t>Outside of work, Sam enjoys spending time with his wife and their two dogs, watching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sports, reading, and exploring the outdoors. Sam also serves on the board of a local charter</w:t>
      </w:r>
      <w:r>
        <w:rPr>
          <w:color w:val="6E6158"/>
          <w:spacing w:val="40"/>
        </w:rPr>
        <w:t> </w:t>
      </w:r>
      <w:r>
        <w:rPr>
          <w:color w:val="6E6158"/>
        </w:rPr>
        <w:t>school and its management company.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278" w:lineRule="auto" w:before="170"/>
        <w:ind w:right="243"/>
        <w:rPr>
          <w:i/>
          <w:sz w:val="20"/>
        </w:rPr>
      </w:pPr>
      <w:r>
        <w:rPr>
          <w:color w:val="6E6158"/>
        </w:rPr>
        <w:t>B.S., Finance and Entrepreneurship University of Arizona, Eller College of Management,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z w:val="20"/>
        </w:rPr>
        <w:t> cum laude</w:t>
      </w:r>
    </w:p>
    <w:p>
      <w:pPr>
        <w:pStyle w:val="BodyText"/>
        <w:spacing w:line="420" w:lineRule="auto" w:before="132"/>
        <w:ind w:right="7376"/>
      </w:pPr>
      <w:r>
        <w:rPr>
          <w:color w:val="6E6158"/>
        </w:rPr>
        <w:t>Order of the Coif 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Barristers</w:t>
      </w:r>
    </w:p>
    <w:p>
      <w:pPr>
        <w:spacing w:line="408" w:lineRule="auto" w:before="7"/>
        <w:ind w:left="99" w:right="2551" w:firstLine="0"/>
        <w:jc w:val="left"/>
        <w:rPr>
          <w:i/>
          <w:sz w:val="20"/>
        </w:rPr>
      </w:pPr>
      <w:r>
        <w:rPr>
          <w:color w:val="6E6158"/>
          <w:sz w:val="19"/>
        </w:rPr>
        <w:t>Chairman, Arizona State University, Executive Moot Court </w:t>
      </w:r>
      <w:r>
        <w:rPr>
          <w:color w:val="6E6158"/>
          <w:sz w:val="19"/>
        </w:rPr>
        <w:t>Board Associate Editor, </w:t>
      </w:r>
      <w:r>
        <w:rPr>
          <w:i/>
          <w:color w:val="6E6158"/>
          <w:sz w:val="20"/>
        </w:rPr>
        <w:t>Arizona State University Law Journal</w:t>
      </w:r>
    </w:p>
    <w:p>
      <w:pPr>
        <w:pStyle w:val="Heading1"/>
        <w:spacing w:before="28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376"/>
      </w:pP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line="420" w:lineRule="auto" w:before="6"/>
        <w:ind w:right="5717"/>
      </w:pP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BodyText"/>
        <w:spacing w:line="231" w:lineRule="exact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right="7376"/>
      </w:pPr>
      <w:r>
        <w:rPr>
          <w:color w:val="6E6158"/>
        </w:rPr>
        <w:t>Estate Litigation Trusts &amp; Estates Cannabis </w:t>
      </w:r>
      <w:r>
        <w:rPr>
          <w:color w:val="6E6158"/>
        </w:rPr>
        <w:t>Business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Fortune</w:t>
      </w:r>
      <w:r>
        <w:rPr>
          <w:color w:val="6E6158"/>
          <w:spacing w:val="14"/>
        </w:rPr>
        <w:t> </w:t>
      </w:r>
      <w:r>
        <w:rPr>
          <w:color w:val="6E6158"/>
        </w:rPr>
        <w:t>500</w:t>
      </w:r>
      <w:r>
        <w:rPr>
          <w:color w:val="6E6158"/>
          <w:spacing w:val="14"/>
        </w:rPr>
        <w:t> </w:t>
      </w:r>
      <w:r>
        <w:rPr>
          <w:color w:val="6E6158"/>
        </w:rPr>
        <w:t>company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contract</w:t>
      </w:r>
      <w:r>
        <w:rPr>
          <w:color w:val="6E6158"/>
          <w:spacing w:val="14"/>
        </w:rPr>
        <w:t> </w:t>
      </w:r>
      <w:r>
        <w:rPr>
          <w:color w:val="6E6158"/>
        </w:rPr>
        <w:t>negotiation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292" w:lineRule="auto" w:before="174"/>
        <w:ind w:right="408"/>
      </w:pPr>
      <w:r>
        <w:rPr>
          <w:color w:val="6E6158"/>
        </w:rPr>
        <w:t>Represented numerous clients in the formation and funding of new entities, as well as drafting</w:t>
      </w:r>
      <w:r>
        <w:rPr>
          <w:color w:val="6E6158"/>
          <w:spacing w:val="40"/>
        </w:rPr>
        <w:t> </w:t>
      </w:r>
      <w:r>
        <w:rPr>
          <w:color w:val="6E6158"/>
        </w:rPr>
        <w:t>their governance documents.</w:t>
      </w:r>
    </w:p>
    <w:p>
      <w:pPr>
        <w:pStyle w:val="BodyText"/>
        <w:spacing w:before="131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venture</w:t>
      </w:r>
      <w:r>
        <w:rPr>
          <w:color w:val="6E6158"/>
          <w:spacing w:val="13"/>
        </w:rPr>
        <w:t> </w:t>
      </w:r>
      <w:r>
        <w:rPr>
          <w:color w:val="6E6158"/>
        </w:rPr>
        <w:t>capital</w:t>
      </w:r>
      <w:r>
        <w:rPr>
          <w:color w:val="6E6158"/>
          <w:spacing w:val="13"/>
        </w:rPr>
        <w:t> </w:t>
      </w:r>
      <w:r>
        <w:rPr>
          <w:color w:val="6E6158"/>
        </w:rPr>
        <w:t>firm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convertible</w:t>
      </w:r>
      <w:r>
        <w:rPr>
          <w:color w:val="6E6158"/>
          <w:spacing w:val="13"/>
        </w:rPr>
        <w:t> </w:t>
      </w:r>
      <w:r>
        <w:rPr>
          <w:color w:val="6E6158"/>
        </w:rPr>
        <w:t>debt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investments.</w:t>
      </w:r>
    </w:p>
    <w:p>
      <w:pPr>
        <w:pStyle w:val="BodyText"/>
        <w:spacing w:line="292" w:lineRule="auto" w:before="174"/>
        <w:ind w:right="408"/>
      </w:pPr>
      <w:r>
        <w:rPr>
          <w:color w:val="6E6158"/>
        </w:rPr>
        <w:t>Represented a private equity fund in the acquisition and sale of operating companies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related real estate.</w:t>
      </w:r>
    </w:p>
    <w:p>
      <w:pPr>
        <w:pStyle w:val="BodyText"/>
        <w:spacing w:line="302" w:lineRule="auto" w:before="124"/>
      </w:pPr>
      <w:r>
        <w:rPr>
          <w:color w:val="6E6158"/>
        </w:rPr>
        <w:t>Represented a private foundation regarding the tax implications of certain investments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line="292" w:lineRule="auto" w:before="112"/>
        <w:ind w:right="243"/>
      </w:pPr>
      <w:r>
        <w:rPr>
          <w:color w:val="6E6158"/>
        </w:rPr>
        <w:t>Represented a commercial development company in an asset purchase with a </w:t>
      </w:r>
      <w:r>
        <w:rPr>
          <w:color w:val="6E6158"/>
        </w:rPr>
        <w:t>national </w:t>
      </w:r>
      <w:r>
        <w:rPr>
          <w:color w:val="6E6158"/>
          <w:spacing w:val="-2"/>
        </w:rPr>
        <w:t>competitor.</w:t>
      </w:r>
    </w:p>
    <w:p>
      <w:pPr>
        <w:pStyle w:val="BodyText"/>
        <w:spacing w:line="292" w:lineRule="auto" w:before="132"/>
      </w:pPr>
      <w:r>
        <w:rPr>
          <w:color w:val="6E6158"/>
        </w:rPr>
        <w:t>Represented a medical supply and pharmaceutical company in a merger transaction with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international buyer.</w:t>
      </w:r>
    </w:p>
    <w:p>
      <w:pPr>
        <w:pStyle w:val="BodyText"/>
        <w:spacing w:line="292" w:lineRule="auto" w:before="123"/>
        <w:ind w:right="271"/>
      </w:pPr>
      <w:r>
        <w:rPr>
          <w:color w:val="6E6158"/>
        </w:rPr>
        <w:t>Represented a medical services company in connection with its purchase by an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buyer.</w:t>
      </w:r>
    </w:p>
    <w:p>
      <w:pPr>
        <w:pStyle w:val="BodyText"/>
        <w:spacing w:before="131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professionals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structure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sale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Business/Corporate,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08"/>
      </w:pPr>
      <w:hyperlink r:id="rId11">
        <w:r>
          <w:rPr>
            <w:color w:val="F5821F"/>
          </w:rPr>
          <w:t>Interview, “If you dread going into work at the start of each week, get a different job,”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Fennemore Blog, December 2, 2021</w:t>
        </w:r>
      </w:hyperlink>
    </w:p>
    <w:p>
      <w:pPr>
        <w:pStyle w:val="BodyText"/>
        <w:spacing w:line="292" w:lineRule="auto" w:before="123"/>
      </w:pPr>
      <w:hyperlink r:id="rId12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before="10"/>
      </w:pPr>
      <w:hyperlink r:id="rId12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63"/>
      </w:pPr>
      <w:r>
        <w:rPr>
          <w:color w:val="6E6158"/>
        </w:rPr>
        <w:t>Co-author,</w:t>
      </w:r>
      <w:r>
        <w:rPr>
          <w:color w:val="6E6158"/>
          <w:spacing w:val="5"/>
        </w:rPr>
        <w:t> </w:t>
      </w:r>
      <w:r>
        <w:rPr>
          <w:color w:val="6E6158"/>
        </w:rPr>
        <w:t>“What</w:t>
      </w:r>
      <w:r>
        <w:rPr>
          <w:color w:val="6E6158"/>
          <w:spacing w:val="5"/>
        </w:rPr>
        <w:t> </w:t>
      </w:r>
      <w:r>
        <w:rPr>
          <w:color w:val="6E6158"/>
        </w:rPr>
        <w:t>You</w:t>
      </w:r>
      <w:r>
        <w:rPr>
          <w:color w:val="6E6158"/>
          <w:spacing w:val="6"/>
        </w:rPr>
        <w:t> </w:t>
      </w:r>
      <w:r>
        <w:rPr>
          <w:color w:val="6E6158"/>
        </w:rPr>
        <w:t>Need</w:t>
      </w:r>
      <w:r>
        <w:rPr>
          <w:color w:val="6E6158"/>
          <w:spacing w:val="5"/>
        </w:rPr>
        <w:t> </w:t>
      </w:r>
      <w:r>
        <w:rPr>
          <w:color w:val="6E6158"/>
        </w:rPr>
        <w:t>to</w:t>
      </w:r>
      <w:r>
        <w:rPr>
          <w:color w:val="6E6158"/>
          <w:spacing w:val="5"/>
        </w:rPr>
        <w:t> </w:t>
      </w:r>
      <w:r>
        <w:rPr>
          <w:color w:val="6E6158"/>
        </w:rPr>
        <w:t>Know</w:t>
      </w:r>
      <w:r>
        <w:rPr>
          <w:color w:val="6E6158"/>
          <w:spacing w:val="6"/>
        </w:rPr>
        <w:t> </w:t>
      </w:r>
      <w:r>
        <w:rPr>
          <w:color w:val="6E6158"/>
        </w:rPr>
        <w:t>About</w:t>
      </w:r>
      <w:r>
        <w:rPr>
          <w:color w:val="6E6158"/>
          <w:spacing w:val="5"/>
        </w:rPr>
        <w:t> </w:t>
      </w:r>
      <w:r>
        <w:rPr>
          <w:color w:val="6E6158"/>
        </w:rPr>
        <w:t>Opportunity</w:t>
      </w:r>
      <w:r>
        <w:rPr>
          <w:color w:val="6E6158"/>
          <w:spacing w:val="5"/>
        </w:rPr>
        <w:t> </w:t>
      </w:r>
      <w:r>
        <w:rPr>
          <w:color w:val="6E6158"/>
        </w:rPr>
        <w:t>Zone</w:t>
      </w:r>
      <w:r>
        <w:rPr>
          <w:color w:val="6E6158"/>
          <w:spacing w:val="6"/>
        </w:rPr>
        <w:t> </w:t>
      </w:r>
      <w:r>
        <w:rPr>
          <w:color w:val="6E6158"/>
        </w:rPr>
        <w:t>Funds,”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Press,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May</w:t>
      </w:r>
      <w:r>
        <w:rPr>
          <w:color w:val="6E6158"/>
          <w:spacing w:val="5"/>
        </w:rPr>
        <w:t> </w:t>
      </w:r>
      <w:r>
        <w:rPr>
          <w:color w:val="6E6158"/>
        </w:rPr>
        <w:t>5,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2"/>
        <w:ind w:right="243"/>
      </w:pPr>
      <w:hyperlink r:id="rId13">
        <w:r>
          <w:rPr>
            <w:color w:val="FF8100"/>
          </w:rPr>
          <w:t>Co-author, “What You Need to Know About Opportunity Zone Funds,” Fennemore Client Alert,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April 30, 2019</w:t>
        </w:r>
      </w:hyperlink>
    </w:p>
    <w:p>
      <w:pPr>
        <w:pStyle w:val="BodyText"/>
        <w:spacing w:line="288" w:lineRule="auto" w:before="122"/>
        <w:ind w:right="243"/>
      </w:pPr>
      <w:hyperlink r:id="rId14">
        <w:r>
          <w:rPr>
            <w:color w:val="FF8100"/>
          </w:rPr>
          <w:t>Co-author, “What You Need to Know About Opportunity Zone Funds,”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Inside Sources</w:t>
        </w:r>
      </w:hyperlink>
      <w:hyperlink r:id="rId14">
        <w:r>
          <w:rPr>
            <w:color w:val="FF8100"/>
          </w:rPr>
          <w:t>, April 29,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2019</w:t>
        </w:r>
      </w:hyperlink>
    </w:p>
    <w:p>
      <w:pPr>
        <w:spacing w:line="285" w:lineRule="auto" w:before="117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spacing w:after="0" w:line="285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08"/>
      </w:pPr>
      <w:hyperlink r:id="rId15">
        <w:r>
          <w:rPr>
            <w:color w:val="FF8100"/>
          </w:rPr>
          <w:t>Co-author, “IRS Proposes Eliminating Charitable Deduction for Donations to State Tuition </w:t>
        </w:r>
        <w:r>
          <w:rPr>
            <w:color w:val="FF8100"/>
          </w:rPr>
          <w:t>Tax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Credit Programs,” Fennemore Client Alert, August 24, 2018</w:t>
        </w:r>
      </w:hyperlink>
    </w:p>
    <w:p>
      <w:pPr>
        <w:pStyle w:val="BodyText"/>
        <w:spacing w:line="292" w:lineRule="auto" w:before="132"/>
        <w:ind w:right="408"/>
      </w:pPr>
      <w:hyperlink r:id="rId16">
        <w:r>
          <w:rPr>
            <w:color w:val="FF8100"/>
          </w:rPr>
          <w:t>Co-author, “Qualified Opportunity Zones: A New Program Allowing Taxpayers to Defer or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Eliminate Capital Gains When Investing in Economically Disadvantaged Areas,” </w:t>
        </w:r>
        <w:r>
          <w:rPr>
            <w:color w:val="FF8100"/>
          </w:rPr>
          <w:t>Fennemore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Client Alert, April 17, 2018</w:t>
        </w:r>
      </w:hyperlink>
    </w:p>
    <w:p>
      <w:pPr>
        <w:pStyle w:val="BodyText"/>
        <w:spacing w:line="302" w:lineRule="auto" w:before="124"/>
        <w:ind w:right="271"/>
      </w:pPr>
      <w:r>
        <w:rPr>
          <w:color w:val="6E6158"/>
        </w:rPr>
        <w:t>Speaker, “Arizona’s New LLC Act: Promoting Certainty and Protecting Freedom of Contract: Part</w:t>
      </w:r>
      <w:r>
        <w:rPr>
          <w:color w:val="6E6158"/>
          <w:spacing w:val="40"/>
        </w:rPr>
        <w:t> </w:t>
      </w:r>
      <w:r>
        <w:rPr>
          <w:color w:val="6E6158"/>
        </w:rPr>
        <w:t>1,” State Bar of Arizona 2018 Annual Convention, June 27, 2018</w:t>
      </w:r>
    </w:p>
    <w:p>
      <w:pPr>
        <w:pStyle w:val="BodyText"/>
        <w:spacing w:before="112"/>
      </w:pPr>
      <w:r>
        <w:rPr>
          <w:color w:val="6E6158"/>
        </w:rPr>
        <w:t>Speaker,</w:t>
      </w:r>
      <w:r>
        <w:rPr>
          <w:color w:val="6E6158"/>
          <w:spacing w:val="6"/>
        </w:rPr>
        <w:t> </w:t>
      </w:r>
      <w:r>
        <w:rPr>
          <w:color w:val="6E6158"/>
        </w:rPr>
        <w:t>“Phoenix</w:t>
      </w:r>
      <w:r>
        <w:rPr>
          <w:color w:val="6E6158"/>
          <w:spacing w:val="7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</w:rPr>
        <w:t>Workshop,”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7"/>
        </w:rPr>
        <w:t> </w:t>
      </w:r>
      <w:r>
        <w:rPr>
          <w:color w:val="6E6158"/>
        </w:rPr>
        <w:t>Society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CPAs,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7"/>
        </w:rPr>
        <w:t> </w:t>
      </w:r>
      <w:r>
        <w:rPr>
          <w:color w:val="6E6158"/>
        </w:rPr>
        <w:t>16,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Company</w:t>
      </w:r>
      <w:r>
        <w:rPr>
          <w:color w:val="6E6158"/>
          <w:spacing w:val="7"/>
        </w:rPr>
        <w:t> </w:t>
      </w:r>
      <w:r>
        <w:rPr>
          <w:color w:val="6E6158"/>
        </w:rPr>
        <w:t>Mentor,</w:t>
      </w:r>
      <w:r>
        <w:rPr>
          <w:color w:val="6E6158"/>
          <w:spacing w:val="8"/>
        </w:rPr>
        <w:t> </w:t>
      </w:r>
      <w:r>
        <w:rPr>
          <w:color w:val="6E6158"/>
        </w:rPr>
        <w:t>Invest</w:t>
      </w:r>
      <w:r>
        <w:rPr>
          <w:color w:val="6E6158"/>
          <w:spacing w:val="8"/>
        </w:rPr>
        <w:t> </w:t>
      </w:r>
      <w:r>
        <w:rPr>
          <w:color w:val="6E6158"/>
        </w:rPr>
        <w:t>Southwest</w:t>
      </w:r>
      <w:r>
        <w:rPr>
          <w:color w:val="6E6158"/>
          <w:spacing w:val="8"/>
        </w:rPr>
        <w:t> </w:t>
      </w:r>
      <w:r>
        <w:rPr>
          <w:color w:val="6E6158"/>
        </w:rPr>
        <w:t>Venture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Madness</w:t>
      </w:r>
    </w:p>
    <w:p>
      <w:pPr>
        <w:pStyle w:val="BodyText"/>
        <w:spacing w:line="302" w:lineRule="auto" w:before="174"/>
        <w:ind w:right="243"/>
      </w:pPr>
      <w:r>
        <w:rPr>
          <w:color w:val="6E6158"/>
        </w:rPr>
        <w:t>Member, State Bar of Arizona Revised Uniform Limited Liability Company Act </w:t>
      </w:r>
      <w:r>
        <w:rPr>
          <w:color w:val="6E6158"/>
        </w:rPr>
        <w:t>Legislative </w:t>
      </w:r>
      <w:r>
        <w:rPr>
          <w:color w:val="6E6158"/>
          <w:spacing w:val="-2"/>
        </w:rPr>
        <w:t>Committee</w:t>
      </w:r>
    </w:p>
    <w:p>
      <w:pPr>
        <w:pStyle w:val="BodyText"/>
        <w:spacing w:line="422" w:lineRule="auto" w:before="113"/>
        <w:ind w:right="5717"/>
      </w:pPr>
      <w:r>
        <w:rPr>
          <w:color w:val="6E6158"/>
        </w:rPr>
        <w:t>Member, State Bar of Arizona Treasurer, Painted Rock </w:t>
      </w:r>
      <w:r>
        <w:rPr>
          <w:color w:val="6E6158"/>
        </w:rPr>
        <w:t>Academy Treasurer, Reid Traditional Schools</w:t>
      </w:r>
    </w:p>
    <w:p>
      <w:pPr>
        <w:pStyle w:val="BodyText"/>
        <w:spacing w:line="232" w:lineRule="exact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Treasurer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Prevent</w:t>
      </w:r>
      <w:r>
        <w:rPr>
          <w:color w:val="6E6158"/>
          <w:spacing w:val="10"/>
        </w:rPr>
        <w:t> </w:t>
      </w:r>
      <w:r>
        <w:rPr>
          <w:color w:val="6E6158"/>
        </w:rPr>
        <w:t>Child</w:t>
      </w:r>
      <w:r>
        <w:rPr>
          <w:color w:val="6E6158"/>
          <w:spacing w:val="10"/>
        </w:rPr>
        <w:t> </w:t>
      </w:r>
      <w:r>
        <w:rPr>
          <w:color w:val="6E6158"/>
        </w:rPr>
        <w:t>Abuse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efird@fennemorelaw.com" TargetMode="External"/><Relationship Id="rId11" Type="http://schemas.openxmlformats.org/officeDocument/2006/relationships/hyperlink" Target="https://www.fennemorelaw.com/if-you-dread-going-into-work-at-the-start-of-each-week-get-a-different-job/" TargetMode="External"/><Relationship Id="rId12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3" Type="http://schemas.openxmlformats.org/officeDocument/2006/relationships/hyperlink" Target="https://clientalert.fennemorecraig.com/opportunity_zones" TargetMode="External"/><Relationship Id="rId14" Type="http://schemas.openxmlformats.org/officeDocument/2006/relationships/hyperlink" Target="https://www.insidesources.com/what-you-need-to-know-about-opportunity-zone-funds/" TargetMode="External"/><Relationship Id="rId15" Type="http://schemas.openxmlformats.org/officeDocument/2006/relationships/hyperlink" Target="https://www.fennemorelaw.com/insights/newsletters/2018/irs-proposes-eliminating-charitable-deduction-for-donations-to-state-tuition-tax-credit-programs" TargetMode="External"/><Relationship Id="rId16" Type="http://schemas.openxmlformats.org/officeDocument/2006/relationships/hyperlink" Target="https://www.fennemorelaw.com/insights/newsletters/2018/qualified-opportunity-zones-a-new-program-allowing-taxpayers-to-defer-or-eliminate-capital-gains-when-investing-in-economically-disadvantaged-area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S. Efird - Fennemore</dc:title>
  <dcterms:created xsi:type="dcterms:W3CDTF">2026-06-12T10:17:18Z</dcterms:created>
  <dcterms:modified xsi:type="dcterms:W3CDTF">2026-06-12T10:17:18Z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