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 w:before="1"/>
        <w:ind w:left="99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rah Strun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17647" y="763308"/>
                            <a:ext cx="20853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SARAH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STRUNK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9394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39152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50535" y="2226505"/>
                            <a:ext cx="14192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sstrunk@fennemorelaw.com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50310" y="3482163"/>
                            <a:ext cx="278765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directions,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anything.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-Sarah's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3087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SARAH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STRUNK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Sarah Strunk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877;top:-5016;width:3264;height:505" id="docshape6" coordorigin="6878,-5016" coordsize="3264,505" path="m10141,-4520l6878,-4520,6878,-4511,10141,-4511,10141,-4520xm10141,-5016l6878,-5016,6878,-5008,10141,-5008,10141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5971;width:328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SARAH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STRUNK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4244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602.916.5327</w:t>
                        </w:r>
                      </w:p>
                    </w:txbxContent>
                  </v:textbox>
                  <w10:wrap type="none"/>
                </v:shape>
                <v:shape style="position:absolute;left:8799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400;top:-3667;width:2235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sstrunk@fennemorelaw.com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935;top:-1689;width:4390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read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follow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directions,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anything.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-Sarah's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Mom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06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SARAH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STRUNK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Sarah practices business and finance law, with an emphasis on mergers and acquisitions,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and secured lending. She has substantial experience with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sales contracts.</w:t>
      </w:r>
      <w:r>
        <w:rPr>
          <w:color w:val="6E6158"/>
          <w:spacing w:val="80"/>
        </w:rPr>
        <w:t> </w:t>
      </w:r>
      <w:r>
        <w:rPr>
          <w:color w:val="6E6158"/>
        </w:rPr>
        <w:t>Sarah represents numerous clients in the mining and natural resource industry and in sports and entertainment.</w:t>
      </w:r>
    </w:p>
    <w:p>
      <w:pPr>
        <w:pStyle w:val="BodyText"/>
        <w:spacing w:line="292" w:lineRule="auto" w:before="204"/>
        <w:ind w:left="99" w:right="284"/>
      </w:pPr>
      <w:r>
        <w:rPr>
          <w:color w:val="6E6158"/>
        </w:rPr>
        <w:t>As a child, Sarah was inspired to become an attorney after watching episodes of “Perry Mason.”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always</w:t>
      </w:r>
      <w:r>
        <w:rPr>
          <w:color w:val="6E6158"/>
          <w:spacing w:val="23"/>
        </w:rPr>
        <w:t> </w:t>
      </w:r>
      <w:r>
        <w:rPr>
          <w:color w:val="6E6158"/>
        </w:rPr>
        <w:t>thought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great</w:t>
      </w:r>
      <w:r>
        <w:rPr>
          <w:color w:val="6E6158"/>
          <w:spacing w:val="23"/>
        </w:rPr>
        <w:t> </w:t>
      </w:r>
      <w:r>
        <w:rPr>
          <w:color w:val="6E6158"/>
        </w:rPr>
        <w:t>that</w:t>
      </w:r>
      <w:r>
        <w:rPr>
          <w:color w:val="6E6158"/>
          <w:spacing w:val="23"/>
        </w:rPr>
        <w:t> </w:t>
      </w:r>
      <w:r>
        <w:rPr>
          <w:color w:val="6E6158"/>
        </w:rPr>
        <w:t>Perry</w:t>
      </w:r>
      <w:r>
        <w:rPr>
          <w:color w:val="6E6158"/>
          <w:spacing w:val="23"/>
        </w:rPr>
        <w:t> </w:t>
      </w:r>
      <w:r>
        <w:rPr>
          <w:color w:val="6E6158"/>
        </w:rPr>
        <w:t>Mason</w:t>
      </w:r>
      <w:r>
        <w:rPr>
          <w:color w:val="6E6158"/>
          <w:spacing w:val="23"/>
        </w:rPr>
        <w:t> </w:t>
      </w:r>
      <w:r>
        <w:rPr>
          <w:color w:val="6E6158"/>
        </w:rPr>
        <w:t>got</w:t>
      </w:r>
      <w:r>
        <w:rPr>
          <w:color w:val="6E6158"/>
          <w:spacing w:val="23"/>
        </w:rPr>
        <w:t> </w:t>
      </w:r>
      <w:r>
        <w:rPr>
          <w:color w:val="6E6158"/>
        </w:rPr>
        <w:t>people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confess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stand.</w:t>
      </w:r>
      <w:r>
        <w:rPr>
          <w:color w:val="6E6158"/>
          <w:spacing w:val="23"/>
        </w:rPr>
        <w:t> </w:t>
      </w:r>
      <w:r>
        <w:rPr>
          <w:color w:val="6E6158"/>
        </w:rPr>
        <w:t>Today, she’s</w:t>
      </w:r>
      <w:r>
        <w:rPr>
          <w:color w:val="6E6158"/>
          <w:spacing w:val="31"/>
        </w:rPr>
        <w:t> </w:t>
      </w:r>
      <w:r>
        <w:rPr>
          <w:color w:val="6E6158"/>
        </w:rPr>
        <w:t>inspired</w:t>
      </w:r>
      <w:r>
        <w:rPr>
          <w:color w:val="6E6158"/>
          <w:spacing w:val="31"/>
        </w:rPr>
        <w:t> </w:t>
      </w:r>
      <w:r>
        <w:rPr>
          <w:color w:val="6E6158"/>
        </w:rPr>
        <w:t>by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smart,</w:t>
      </w:r>
      <w:r>
        <w:rPr>
          <w:color w:val="6E6158"/>
          <w:spacing w:val="31"/>
        </w:rPr>
        <w:t> </w:t>
      </w:r>
      <w:r>
        <w:rPr>
          <w:color w:val="6E6158"/>
        </w:rPr>
        <w:t>risk-taking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who</w:t>
      </w:r>
      <w:r>
        <w:rPr>
          <w:color w:val="6E6158"/>
          <w:spacing w:val="31"/>
        </w:rPr>
        <w:t> </w:t>
      </w:r>
      <w:r>
        <w:rPr>
          <w:color w:val="6E6158"/>
        </w:rPr>
        <w:t>build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develop</w:t>
      </w:r>
      <w:r>
        <w:rPr>
          <w:color w:val="6E6158"/>
          <w:spacing w:val="31"/>
        </w:rPr>
        <w:t> </w:t>
      </w:r>
      <w:r>
        <w:rPr>
          <w:color w:val="6E6158"/>
        </w:rPr>
        <w:t>amazing</w:t>
      </w:r>
      <w:r>
        <w:rPr>
          <w:color w:val="6E6158"/>
          <w:spacing w:val="31"/>
        </w:rPr>
        <w:t> </w:t>
      </w:r>
      <w:r>
        <w:rPr>
          <w:color w:val="6E6158"/>
        </w:rPr>
        <w:t>companies.</w:t>
      </w:r>
    </w:p>
    <w:p>
      <w:pPr>
        <w:pStyle w:val="BodyText"/>
        <w:spacing w:line="302" w:lineRule="auto" w:before="197"/>
        <w:ind w:left="99" w:right="413"/>
      </w:pPr>
      <w:r>
        <w:rPr>
          <w:color w:val="6E6158"/>
        </w:rPr>
        <w:t>Outside the office, Sarah enjoys gardening, cooking and entertaining. When she travels, it’s</w:t>
      </w:r>
      <w:r>
        <w:rPr>
          <w:color w:val="6E6158"/>
          <w:spacing w:val="40"/>
        </w:rPr>
        <w:t> </w:t>
      </w:r>
      <w:r>
        <w:rPr>
          <w:color w:val="6E6158"/>
        </w:rPr>
        <w:t>often to a location where she and her husband can scuba dive.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233"/>
      </w:pPr>
      <w:r>
        <w:rPr>
          <w:color w:val="6E6158"/>
        </w:rPr>
        <w:t>LL.M., New York University School of </w:t>
      </w:r>
      <w:r>
        <w:rPr>
          <w:color w:val="6E6158"/>
        </w:rPr>
        <w:t>Law J.D., University of Kansas School of Law</w:t>
      </w:r>
    </w:p>
    <w:p>
      <w:pPr>
        <w:spacing w:line="242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Wichita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</w:t>
      </w:r>
      <w:r>
        <w:rPr>
          <w:color w:val="6E6158"/>
          <w:spacing w:val="-2"/>
          <w:sz w:val="19"/>
        </w:rPr>
        <w:t>e</w:t>
      </w:r>
    </w:p>
    <w:p>
      <w:pPr>
        <w:pStyle w:val="BodyText"/>
        <w:spacing w:before="16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554" w:lineRule="auto"/>
        <w:ind w:left="99" w:right="7500"/>
      </w:pPr>
      <w:r>
        <w:rPr>
          <w:color w:val="6E6158"/>
        </w:rPr>
        <w:t>Sports Law</w:t>
      </w:r>
      <w:r>
        <w:rPr>
          <w:color w:val="6E6158"/>
          <w:spacing w:val="8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after="0" w:line="554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500"/>
      </w:pPr>
      <w:r>
        <w:rPr>
          <w:color w:val="6E6158"/>
        </w:rPr>
        <w:t>Natural </w:t>
      </w:r>
      <w:r>
        <w:rPr>
          <w:color w:val="6E6158"/>
        </w:rPr>
        <w:t>Resources Mining Law</w:t>
      </w:r>
    </w:p>
    <w:p>
      <w:pPr>
        <w:pStyle w:val="BodyText"/>
        <w:spacing w:line="420" w:lineRule="auto" w:before="7"/>
        <w:ind w:left="99" w:right="6607"/>
      </w:pPr>
      <w:r>
        <w:rPr>
          <w:color w:val="6E6158"/>
        </w:rPr>
        <w:t>Gaming &amp; Hospitality Mergers &amp; Acquisitions General Counsel </w:t>
      </w:r>
      <w:r>
        <w:rPr>
          <w:color w:val="6E6158"/>
        </w:rPr>
        <w:t>Services</w:t>
      </w:r>
    </w:p>
    <w:p>
      <w:pPr>
        <w:pStyle w:val="Heading2"/>
        <w:spacing w:before="28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/>
        <w:ind w:left="99" w:right="284"/>
      </w:pPr>
      <w:r>
        <w:rPr>
          <w:color w:val="6E6158"/>
        </w:rPr>
        <w:t>Represented the buyer in the acquisition of all the aggregate assets of an international cement</w:t>
      </w:r>
      <w:r>
        <w:rPr>
          <w:color w:val="6E6158"/>
          <w:spacing w:val="40"/>
        </w:rPr>
        <w:t> </w:t>
      </w:r>
      <w:r>
        <w:rPr>
          <w:color w:val="6E6158"/>
        </w:rPr>
        <w:t>conglomerate in Ecuador.</w:t>
      </w:r>
    </w:p>
    <w:p>
      <w:pPr>
        <w:pStyle w:val="BodyText"/>
        <w:spacing w:line="292" w:lineRule="auto" w:before="113"/>
        <w:ind w:left="99" w:right="413"/>
      </w:pPr>
      <w:r>
        <w:rPr>
          <w:color w:val="6E6158"/>
        </w:rPr>
        <w:t>Represent international banking interests lending to mining and other natural </w:t>
      </w:r>
      <w:r>
        <w:rPr>
          <w:color w:val="6E6158"/>
        </w:rPr>
        <w:t>resource </w:t>
      </w:r>
      <w:r>
        <w:rPr>
          <w:color w:val="6E6158"/>
          <w:spacing w:val="-2"/>
        </w:rPr>
        <w:t>companies.</w:t>
      </w:r>
    </w:p>
    <w:p>
      <w:pPr>
        <w:pStyle w:val="BodyText"/>
        <w:spacing w:line="302" w:lineRule="auto" w:before="123"/>
        <w:ind w:left="99" w:right="284"/>
      </w:pPr>
      <w:r>
        <w:rPr>
          <w:color w:val="6E6158"/>
        </w:rPr>
        <w:t>Representation of an American company in the creation of a joint venture involving a Chinese</w:t>
      </w:r>
      <w:r>
        <w:rPr>
          <w:color w:val="6E6158"/>
          <w:spacing w:val="40"/>
        </w:rPr>
        <w:t> </w:t>
      </w:r>
      <w:r>
        <w:rPr>
          <w:color w:val="6E6158"/>
        </w:rPr>
        <w:t>firm to develop a manufacturing plant in central China.</w:t>
      </w:r>
    </w:p>
    <w:p>
      <w:pPr>
        <w:pStyle w:val="BodyText"/>
        <w:spacing w:line="292" w:lineRule="auto" w:before="113"/>
        <w:ind w:left="99" w:right="413"/>
      </w:pPr>
      <w:r>
        <w:rPr>
          <w:color w:val="6E6158"/>
        </w:rPr>
        <w:t>Represented Special Committee of the Board of Directors of Unisource Energy in connection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proposed</w:t>
      </w:r>
      <w:r>
        <w:rPr>
          <w:color w:val="6E6158"/>
          <w:spacing w:val="30"/>
        </w:rPr>
        <w:t> </w:t>
      </w:r>
      <w:r>
        <w:rPr>
          <w:color w:val="6E6158"/>
        </w:rPr>
        <w:t>merger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subsidiary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KKR,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proxy</w:t>
      </w:r>
      <w:r>
        <w:rPr>
          <w:color w:val="6E6158"/>
          <w:spacing w:val="30"/>
        </w:rPr>
        <w:t> </w:t>
      </w:r>
      <w:r>
        <w:rPr>
          <w:color w:val="6E6158"/>
        </w:rPr>
        <w:t>statement</w:t>
      </w:r>
      <w:r>
        <w:rPr>
          <w:color w:val="6E6158"/>
          <w:spacing w:val="30"/>
        </w:rPr>
        <w:t> </w:t>
      </w:r>
      <w:r>
        <w:rPr>
          <w:color w:val="6E6158"/>
        </w:rPr>
        <w:t>review.</w:t>
      </w:r>
    </w:p>
    <w:p>
      <w:pPr>
        <w:pStyle w:val="BodyText"/>
        <w:spacing w:line="292" w:lineRule="auto" w:before="132"/>
        <w:ind w:left="99"/>
      </w:pPr>
      <w:r>
        <w:rPr>
          <w:color w:val="6E6158"/>
        </w:rPr>
        <w:t>Numerous international M&amp;A transactions, on both buy and sell side, and involving stock or asset</w:t>
      </w:r>
      <w:r>
        <w:rPr>
          <w:color w:val="6E6158"/>
          <w:spacing w:val="40"/>
        </w:rPr>
        <w:t> </w:t>
      </w:r>
      <w:r>
        <w:rPr>
          <w:color w:val="6E6158"/>
        </w:rPr>
        <w:t>sales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purchases,</w:t>
      </w:r>
      <w:r>
        <w:rPr>
          <w:color w:val="6E6158"/>
          <w:spacing w:val="25"/>
        </w:rPr>
        <w:t> </w:t>
      </w:r>
      <w:r>
        <w:rPr>
          <w:color w:val="6E6158"/>
        </w:rPr>
        <w:t>including</w:t>
      </w:r>
      <w:r>
        <w:rPr>
          <w:color w:val="6E6158"/>
          <w:spacing w:val="25"/>
        </w:rPr>
        <w:t> </w:t>
      </w:r>
      <w:r>
        <w:rPr>
          <w:color w:val="6E6158"/>
        </w:rPr>
        <w:t>deals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South</w:t>
      </w:r>
      <w:r>
        <w:rPr>
          <w:color w:val="6E6158"/>
          <w:spacing w:val="25"/>
        </w:rPr>
        <w:t> </w:t>
      </w:r>
      <w:r>
        <w:rPr>
          <w:color w:val="6E6158"/>
        </w:rPr>
        <w:t>Africa,</w:t>
      </w:r>
      <w:r>
        <w:rPr>
          <w:color w:val="6E6158"/>
          <w:spacing w:val="25"/>
        </w:rPr>
        <w:t> </w:t>
      </w:r>
      <w:r>
        <w:rPr>
          <w:color w:val="6E6158"/>
        </w:rPr>
        <w:t>Mexico,</w:t>
      </w:r>
      <w:r>
        <w:rPr>
          <w:color w:val="6E6158"/>
          <w:spacing w:val="25"/>
        </w:rPr>
        <w:t> </w:t>
      </w:r>
      <w:r>
        <w:rPr>
          <w:color w:val="6E6158"/>
        </w:rPr>
        <w:t>Sweden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United</w:t>
      </w:r>
      <w:r>
        <w:rPr>
          <w:color w:val="6E6158"/>
          <w:spacing w:val="25"/>
        </w:rPr>
        <w:t> </w:t>
      </w:r>
      <w:r>
        <w:rPr>
          <w:color w:val="6E6158"/>
        </w:rPr>
        <w:t>Kingdom.</w:t>
      </w:r>
    </w:p>
    <w:p>
      <w:pPr>
        <w:pStyle w:val="BodyText"/>
        <w:spacing w:line="297" w:lineRule="auto" w:before="123"/>
        <w:ind w:left="99" w:right="284"/>
      </w:pPr>
      <w:r>
        <w:rPr>
          <w:color w:val="6E6158"/>
        </w:rPr>
        <w:t>Involved in many mining, aggregates and other natural resource businesses, including joint</w:t>
      </w:r>
      <w:r>
        <w:rPr>
          <w:color w:val="6E6158"/>
          <w:spacing w:val="40"/>
        </w:rPr>
        <w:t> </w:t>
      </w:r>
      <w:r>
        <w:rPr>
          <w:color w:val="6E6158"/>
        </w:rPr>
        <w:t>ventures, exploration and development transactions, marketing agreements, secured </w:t>
      </w:r>
      <w:r>
        <w:rPr>
          <w:color w:val="6E6158"/>
        </w:rPr>
        <w:t>finance</w:t>
      </w:r>
      <w:r>
        <w:rPr>
          <w:color w:val="6E6158"/>
          <w:spacing w:val="40"/>
        </w:rPr>
        <w:t> </w:t>
      </w:r>
      <w:r>
        <w:rPr>
          <w:color w:val="6E6158"/>
        </w:rPr>
        <w:t>transactions, registrations statements.</w:t>
      </w:r>
    </w:p>
    <w:p>
      <w:pPr>
        <w:pStyle w:val="BodyText"/>
        <w:spacing w:before="118"/>
        <w:ind w:left="99"/>
      </w:pPr>
      <w:r>
        <w:rPr>
          <w:color w:val="6E6158"/>
        </w:rPr>
        <w:t>General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entities,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Tourism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Authority.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Mining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2025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 of the 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Securities Regulation, 2022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line="288" w:lineRule="auto" w:before="164"/>
        <w:ind w:left="99" w:right="284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Corporate Law, Mergers and Acquisitions Law, Mining </w:t>
      </w:r>
      <w:r>
        <w:rPr>
          <w:color w:val="6E6158"/>
        </w:rPr>
        <w:t>Law, Securities/Capital Markets Law, Securities Regulation, 2007-2025</w:t>
      </w:r>
    </w:p>
    <w:p>
      <w:pPr>
        <w:pStyle w:val="BodyText"/>
        <w:spacing w:line="415" w:lineRule="auto" w:before="118"/>
        <w:ind w:left="99" w:right="3148"/>
      </w:pPr>
      <w:r>
        <w:rPr>
          <w:i/>
          <w:color w:val="6E6158"/>
          <w:sz w:val="20"/>
        </w:rPr>
        <w:t>Chambers USA</w:t>
      </w:r>
      <w:r>
        <w:rPr>
          <w:color w:val="6E6158"/>
        </w:rPr>
        <w:t>, Leading Lawyers for Business, 2005-</w:t>
      </w:r>
      <w:r>
        <w:rPr>
          <w:color w:val="6E6158"/>
        </w:rPr>
        <w:t>2024 Chambers USA, Corporate/M&amp;A: Arizona, 2026</w:t>
      </w:r>
    </w:p>
    <w:p>
      <w:pPr>
        <w:spacing w:line="272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Mining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2018,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line="405" w:lineRule="auto" w:before="165"/>
        <w:ind w:left="99" w:right="126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Lawyer of the Year, Mergers and Acquisitions Law, 2017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Lawyer of the Year, Securities/Capital Markets Law, 2016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Mergers and Acquisitions, 2007-2024, 2026</w:t>
      </w:r>
    </w:p>
    <w:p>
      <w:pPr>
        <w:pStyle w:val="BodyText"/>
        <w:spacing w:line="408" w:lineRule="auto" w:before="1"/>
        <w:ind w:left="99" w:right="284"/>
      </w:pPr>
      <w:r>
        <w:rPr>
          <w:color w:val="6E6158"/>
        </w:rPr>
        <w:t>David Bruno Award for Distinguished Service, Greater Phoenix Chamber of Commerce, </w:t>
      </w:r>
      <w:r>
        <w:rPr>
          <w:color w:val="6E6158"/>
        </w:rPr>
        <w:t>2019 Outstanding Women in Business, </w:t>
      </w:r>
      <w:r>
        <w:rPr>
          <w:i/>
          <w:color w:val="6E6158"/>
          <w:sz w:val="20"/>
        </w:rPr>
        <w:t>Phoenix Business Journal, </w:t>
      </w:r>
      <w:r>
        <w:rPr>
          <w:color w:val="6E6158"/>
        </w:rPr>
        <w:t>2019</w:t>
      </w:r>
    </w:p>
    <w:p>
      <w:pPr>
        <w:spacing w:line="236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AZ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before="17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100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9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Women,</w:t>
      </w:r>
      <w:r>
        <w:rPr>
          <w:color w:val="6E6158"/>
          <w:spacing w:val="-10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International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Who’s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Who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Mining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 2011-</w:t>
      </w:r>
      <w:r>
        <w:rPr>
          <w:color w:val="6E6158"/>
          <w:spacing w:val="-4"/>
          <w:sz w:val="19"/>
        </w:rPr>
        <w:t>2016</w:t>
      </w:r>
    </w:p>
    <w:p>
      <w:pPr>
        <w:spacing w:before="169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50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Most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Influential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Women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Arizona’s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Magazine’s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Who’s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Who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164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124"/>
      </w:pPr>
      <w:r>
        <w:rPr>
          <w:color w:val="6E6158"/>
        </w:rPr>
        <w:t>Interview, “If you can read and follow directions, you can do anything,” Fennemore Blog, August</w:t>
      </w:r>
      <w:r>
        <w:rPr>
          <w:color w:val="6E6158"/>
          <w:spacing w:val="40"/>
        </w:rPr>
        <w:t> </w:t>
      </w:r>
      <w:r>
        <w:rPr>
          <w:color w:val="6E6158"/>
        </w:rPr>
        <w:t>26, 2021</w:t>
      </w:r>
    </w:p>
    <w:p>
      <w:pPr>
        <w:pStyle w:val="BodyText"/>
        <w:spacing w:line="292" w:lineRule="auto" w:before="123"/>
        <w:ind w:left="99" w:right="284"/>
      </w:pPr>
      <w:hyperlink r:id="rId11">
        <w:r>
          <w:rPr>
            <w:color w:val="FF8100"/>
          </w:rPr>
          <w:t>Co-author, “SBA Provides Much-Needed Safe-Harbor for PPP Loans Under $2 Million,”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1">
        <w:r>
          <w:rPr>
            <w:color w:val="FF8100"/>
          </w:rPr>
          <w:t>Client Alert, May 15, 2020</w:t>
        </w:r>
      </w:hyperlink>
    </w:p>
    <w:p>
      <w:pPr>
        <w:pStyle w:val="BodyText"/>
        <w:spacing w:line="292" w:lineRule="auto" w:before="132"/>
        <w:ind w:left="99" w:right="284"/>
      </w:pPr>
      <w:hyperlink r:id="rId12">
        <w:r>
          <w:rPr>
            <w:color w:val="FF8100"/>
          </w:rPr>
          <w:t>Co-author, “The Small Business Association Tightens Loophole that Allowed Public Companies </w:t>
        </w:r>
        <w:r>
          <w:rPr>
            <w:color w:val="FF8100"/>
          </w:rPr>
          <w:t>to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Receive CARES Act Funding,” Fennemore Client Alert, April 24, 2020</w:t>
        </w:r>
      </w:hyperlink>
    </w:p>
    <w:p>
      <w:pPr>
        <w:pStyle w:val="BodyText"/>
        <w:spacing w:line="302" w:lineRule="auto" w:before="123"/>
        <w:ind w:left="99" w:right="413"/>
      </w:pPr>
      <w:hyperlink r:id="rId13">
        <w:r>
          <w:rPr>
            <w:color w:val="FF8100"/>
          </w:rPr>
          <w:t>Co-author, “The Federal Reserve’s Main Street Lending Program,” Fennemore Client Alert, </w:t>
        </w:r>
        <w:r>
          <w:rPr>
            <w:color w:val="FF8100"/>
          </w:rPr>
          <w:t>April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21, 2020</w:t>
        </w:r>
      </w:hyperlink>
    </w:p>
    <w:p>
      <w:pPr>
        <w:pStyle w:val="BodyText"/>
        <w:spacing w:line="408" w:lineRule="auto" w:before="113"/>
        <w:ind w:left="99" w:right="284"/>
      </w:pPr>
      <w:r>
        <w:rPr>
          <w:color w:val="6E6158"/>
        </w:rPr>
        <w:t>Speaker, “The CARES Act – What You Need to Know Now,” Arizona Nonprofits, April 2, 2020 Quoted, “Payroll help for companies hurt by pandemic,”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March 31, 2020</w:t>
      </w:r>
    </w:p>
    <w:p>
      <w:pPr>
        <w:pStyle w:val="BodyText"/>
        <w:spacing w:line="236" w:lineRule="exact"/>
        <w:ind w:left="99"/>
      </w:pP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“Payroll</w:t>
      </w:r>
      <w:r>
        <w:rPr>
          <w:color w:val="6E6158"/>
          <w:spacing w:val="7"/>
        </w:rPr>
        <w:t> </w:t>
      </w:r>
      <w:r>
        <w:rPr>
          <w:color w:val="6E6158"/>
        </w:rPr>
        <w:t>help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6"/>
        </w:rPr>
        <w:t> </w:t>
      </w:r>
      <w:r>
        <w:rPr>
          <w:color w:val="6E6158"/>
        </w:rPr>
        <w:t>companies</w:t>
      </w:r>
      <w:r>
        <w:rPr>
          <w:color w:val="6E6158"/>
          <w:spacing w:val="7"/>
        </w:rPr>
        <w:t> </w:t>
      </w:r>
      <w:r>
        <w:rPr>
          <w:color w:val="6E6158"/>
        </w:rPr>
        <w:t>hurt</w:t>
      </w:r>
      <w:r>
        <w:rPr>
          <w:color w:val="6E6158"/>
          <w:spacing w:val="7"/>
        </w:rPr>
        <w:t> </w:t>
      </w:r>
      <w:r>
        <w:rPr>
          <w:color w:val="6E6158"/>
        </w:rPr>
        <w:t>by</w:t>
      </w:r>
      <w:r>
        <w:rPr>
          <w:color w:val="6E6158"/>
          <w:spacing w:val="7"/>
        </w:rPr>
        <w:t> </w:t>
      </w:r>
      <w:r>
        <w:rPr>
          <w:color w:val="6E6158"/>
        </w:rPr>
        <w:t>pandemic,”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Chamber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News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March</w:t>
      </w:r>
      <w:r>
        <w:rPr>
          <w:color w:val="6E6158"/>
          <w:spacing w:val="6"/>
        </w:rPr>
        <w:t> </w:t>
      </w:r>
      <w:r>
        <w:rPr>
          <w:color w:val="6E6158"/>
        </w:rPr>
        <w:t>31,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80"/>
        <w:ind w:left="99" w:right="413"/>
      </w:pPr>
      <w:hyperlink r:id="rId14">
        <w:r>
          <w:rPr>
            <w:color w:val="FF8100"/>
          </w:rPr>
          <w:t>Author, “The CARES Act – Paycheck Protection Program,” Fennemore Client Alert, March 27,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13"/>
        <w:ind w:left="99"/>
      </w:pPr>
      <w:r>
        <w:rPr>
          <w:color w:val="6E6158"/>
        </w:rPr>
        <w:t>Quoted,</w:t>
      </w:r>
      <w:r>
        <w:rPr>
          <w:color w:val="6E6158"/>
          <w:spacing w:val="5"/>
        </w:rPr>
        <w:t> </w:t>
      </w:r>
      <w:r>
        <w:rPr>
          <w:color w:val="6E6158"/>
        </w:rPr>
        <w:t>“Women</w:t>
      </w:r>
      <w:r>
        <w:rPr>
          <w:color w:val="6E6158"/>
          <w:spacing w:val="6"/>
        </w:rPr>
        <w:t> </w:t>
      </w:r>
      <w:r>
        <w:rPr>
          <w:color w:val="6E6158"/>
        </w:rPr>
        <w:t>Who</w:t>
      </w:r>
      <w:r>
        <w:rPr>
          <w:color w:val="6E6158"/>
          <w:spacing w:val="6"/>
        </w:rPr>
        <w:t> </w:t>
      </w:r>
      <w:r>
        <w:rPr>
          <w:color w:val="6E6158"/>
        </w:rPr>
        <w:t>Inspire,”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Welum,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</w:rPr>
        <w:t>Summer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2019</w:t>
      </w:r>
    </w:p>
    <w:p>
      <w:pPr>
        <w:spacing w:line="285" w:lineRule="auto" w:before="161"/>
        <w:ind w:left="99" w:right="284" w:firstLine="0"/>
        <w:jc w:val="left"/>
        <w:rPr>
          <w:sz w:val="19"/>
        </w:rPr>
      </w:pPr>
      <w:r>
        <w:rPr>
          <w:color w:val="6E6158"/>
          <w:sz w:val="19"/>
        </w:rPr>
        <w:t>Quoted, “Will Fox Restaurant Concepts be ‘Cheesecakeized’ in Wake of Buyout?”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z w:val="20"/>
        </w:rPr>
        <w:t> Business Journal</w:t>
      </w:r>
      <w:r>
        <w:rPr>
          <w:color w:val="6E6158"/>
          <w:sz w:val="19"/>
        </w:rPr>
        <w:t>, August 2, 2019</w:t>
      </w:r>
    </w:p>
    <w:p>
      <w:pPr>
        <w:pStyle w:val="BodyText"/>
        <w:spacing w:line="292" w:lineRule="auto" w:before="127"/>
        <w:ind w:left="99" w:right="284"/>
      </w:pPr>
      <w:r>
        <w:rPr>
          <w:color w:val="6E6158"/>
        </w:rPr>
        <w:t>Presenter, “Corporate Audits,” 65th Annual Rocky Mountain Mineral Law Institute </w:t>
      </w:r>
      <w:r>
        <w:rPr>
          <w:color w:val="6E6158"/>
        </w:rPr>
        <w:t>Summer Conference,” RMMLF, July 2019</w:t>
      </w:r>
    </w:p>
    <w:p>
      <w:pPr>
        <w:pStyle w:val="BodyText"/>
        <w:spacing w:line="297" w:lineRule="auto" w:before="113"/>
        <w:ind w:left="99" w:right="284"/>
      </w:pPr>
      <w:r>
        <w:rPr>
          <w:color w:val="6E6158"/>
        </w:rPr>
        <w:t>Quoted, “Greater Phoenix Chamber Signs ONE Community’s UNITY Pledge,”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</w:t>
      </w:r>
      <w:r>
        <w:rPr>
          <w:color w:val="6E6158"/>
        </w:rPr>
        <w:t>April 25, 2019</w:t>
      </w:r>
    </w:p>
    <w:p>
      <w:pPr>
        <w:spacing w:line="278" w:lineRule="auto" w:before="107"/>
        <w:ind w:left="99" w:right="124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“Preliminary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Agreements,”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Mining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Minerals,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Practical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Guide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Cycle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z w:val="20"/>
        </w:rPr>
        <w:t> a Mining Project, </w:t>
      </w:r>
      <w:r>
        <w:rPr>
          <w:color w:val="6E6158"/>
          <w:sz w:val="19"/>
        </w:rPr>
        <w:t>Global Law and Business, 2018</w:t>
      </w:r>
    </w:p>
    <w:p>
      <w:pPr>
        <w:spacing w:line="278" w:lineRule="auto" w:before="131"/>
        <w:ind w:left="99" w:right="284" w:firstLine="0"/>
        <w:jc w:val="left"/>
        <w:rPr>
          <w:sz w:val="19"/>
        </w:rPr>
      </w:pPr>
      <w:r>
        <w:rPr>
          <w:color w:val="6E6158"/>
          <w:sz w:val="19"/>
        </w:rPr>
        <w:t>Quoted, “High-Profile Attorney Takes Over as Phoenix Chamber Board Chair,” </w:t>
      </w:r>
      <w:r>
        <w:rPr>
          <w:i/>
          <w:color w:val="6E6158"/>
          <w:sz w:val="20"/>
        </w:rPr>
        <w:t>Phoenix Business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October 30, 2018</w:t>
      </w:r>
    </w:p>
    <w:p>
      <w:pPr>
        <w:pStyle w:val="BodyText"/>
        <w:spacing w:line="292" w:lineRule="auto" w:before="133"/>
        <w:ind w:left="99" w:right="284"/>
      </w:pPr>
      <w:r>
        <w:rPr>
          <w:color w:val="6E6158"/>
        </w:rPr>
        <w:t>Speaker, “Women Who Run the Show,” Turnaround Management Association Arizona </w:t>
      </w:r>
      <w:r>
        <w:rPr>
          <w:color w:val="6E6158"/>
        </w:rPr>
        <w:t>Chapter, June 19, 2018</w:t>
      </w:r>
    </w:p>
    <w:p>
      <w:pPr>
        <w:pStyle w:val="BodyText"/>
        <w:spacing w:before="131"/>
        <w:ind w:left="99"/>
      </w:pPr>
      <w:r>
        <w:rPr>
          <w:color w:val="6E6158"/>
        </w:rPr>
        <w:t>Panelist,</w:t>
      </w:r>
      <w:r>
        <w:rPr>
          <w:color w:val="6E6158"/>
          <w:spacing w:val="14"/>
        </w:rPr>
        <w:t> </w:t>
      </w:r>
      <w:r>
        <w:rPr>
          <w:color w:val="6E6158"/>
        </w:rPr>
        <w:t>“Competing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Global</w:t>
      </w:r>
      <w:r>
        <w:rPr>
          <w:color w:val="6E6158"/>
          <w:spacing w:val="15"/>
        </w:rPr>
        <w:t> </w:t>
      </w:r>
      <w:r>
        <w:rPr>
          <w:color w:val="6E6158"/>
        </w:rPr>
        <w:t>Market,”</w:t>
      </w:r>
      <w:r>
        <w:rPr>
          <w:color w:val="6E6158"/>
          <w:spacing w:val="14"/>
        </w:rPr>
        <w:t> </w:t>
      </w:r>
      <w:r>
        <w:rPr>
          <w:color w:val="6E6158"/>
        </w:rPr>
        <w:t>ACOEP’s</w:t>
      </w:r>
      <w:r>
        <w:rPr>
          <w:color w:val="6E6158"/>
          <w:spacing w:val="14"/>
        </w:rPr>
        <w:t> </w:t>
      </w:r>
      <w:r>
        <w:rPr>
          <w:color w:val="6E6158"/>
        </w:rPr>
        <w:t>Scientific</w:t>
      </w:r>
      <w:r>
        <w:rPr>
          <w:color w:val="6E6158"/>
          <w:spacing w:val="14"/>
        </w:rPr>
        <w:t> </w:t>
      </w:r>
      <w:r>
        <w:rPr>
          <w:color w:val="6E6158"/>
        </w:rPr>
        <w:t>Assembly,</w:t>
      </w:r>
      <w:r>
        <w:rPr>
          <w:color w:val="6E6158"/>
          <w:spacing w:val="15"/>
        </w:rPr>
        <w:t> </w:t>
      </w:r>
      <w:r>
        <w:rPr>
          <w:color w:val="6E6158"/>
        </w:rPr>
        <w:t>November</w:t>
      </w:r>
      <w:r>
        <w:rPr>
          <w:color w:val="6E6158"/>
          <w:spacing w:val="14"/>
        </w:rPr>
        <w:t> </w:t>
      </w:r>
      <w:r>
        <w:rPr>
          <w:color w:val="6E6158"/>
        </w:rPr>
        <w:t>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left="99" w:right="284"/>
      </w:pPr>
      <w:r>
        <w:rPr>
          <w:color w:val="6E6158"/>
        </w:rPr>
        <w:t>Speaker, “Strategic Planning and Board Governance,” The Stepping Stones for a </w:t>
      </w:r>
      <w:r>
        <w:rPr>
          <w:color w:val="6E6158"/>
        </w:rPr>
        <w:t>Successful Nonprofit, Fennemore, September 21, 2017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2"/>
        <w:spacing w:after="0"/>
        <w:sectPr>
          <w:pgSz w:w="12240" w:h="15840"/>
          <w:pgMar w:top="480" w:bottom="280" w:left="1440" w:right="1440"/>
        </w:sectPr>
      </w:pPr>
    </w:p>
    <w:p>
      <w:pPr>
        <w:pStyle w:val="BodyText"/>
        <w:spacing w:line="292" w:lineRule="auto" w:before="83"/>
        <w:ind w:left="99" w:right="247"/>
      </w:pPr>
      <w:r>
        <w:rPr>
          <w:color w:val="6E6158"/>
        </w:rPr>
        <w:t>Former Chair, Board of Directors, Greater Phoenix Chamber of Commerce Former Board Chair</w:t>
      </w:r>
      <w:r>
        <w:rPr>
          <w:color w:val="6E6158"/>
          <w:spacing w:val="40"/>
        </w:rPr>
        <w:t> </w:t>
      </w:r>
      <w:r>
        <w:rPr>
          <w:color w:val="6E6158"/>
        </w:rPr>
        <w:t>and Board Member, Social Venture Partners</w:t>
      </w:r>
    </w:p>
    <w:p>
      <w:pPr>
        <w:pStyle w:val="BodyText"/>
        <w:spacing w:before="132"/>
        <w:ind w:left="99"/>
      </w:pPr>
      <w:r>
        <w:rPr>
          <w:color w:val="6E6158"/>
        </w:rPr>
        <w:t>Former</w:t>
      </w:r>
      <w:r>
        <w:rPr>
          <w:color w:val="6E6158"/>
          <w:spacing w:val="4"/>
        </w:rPr>
        <w:t> </w:t>
      </w:r>
      <w:r>
        <w:rPr>
          <w:color w:val="6E6158"/>
        </w:rPr>
        <w:t>Board</w:t>
      </w:r>
      <w:r>
        <w:rPr>
          <w:color w:val="6E6158"/>
          <w:spacing w:val="4"/>
        </w:rPr>
        <w:t> </w: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Valle</w:t>
      </w:r>
      <w:r>
        <w:rPr>
          <w:color w:val="6E6158"/>
          <w:spacing w:val="5"/>
        </w:rPr>
        <w:t> </w:t>
      </w:r>
      <w:r>
        <w:rPr>
          <w:color w:val="6E6158"/>
        </w:rPr>
        <w:t>del</w:t>
      </w:r>
      <w:r>
        <w:rPr>
          <w:color w:val="6E6158"/>
          <w:spacing w:val="4"/>
        </w:rPr>
        <w:t> </w:t>
      </w:r>
      <w:r>
        <w:rPr>
          <w:color w:val="6E6158"/>
          <w:spacing w:val="-5"/>
        </w:rPr>
        <w:t>Sol</w:t>
      </w:r>
    </w:p>
    <w:p>
      <w:pPr>
        <w:pStyle w:val="BodyText"/>
        <w:spacing w:line="292" w:lineRule="auto" w:before="174"/>
        <w:ind w:left="99" w:right="124"/>
      </w:pPr>
      <w:r>
        <w:rPr>
          <w:color w:val="6E6158"/>
        </w:rPr>
        <w:t>Member, Teck Resources Limited (Teck) Board of Directors, 2021 to present, chair of the Safety &amp; Sustainability Committee</w:t>
      </w:r>
    </w:p>
    <w:p>
      <w:pPr>
        <w:pStyle w:val="BodyText"/>
        <w:spacing w:line="302" w:lineRule="auto" w:before="123"/>
        <w:ind w:left="99" w:right="124"/>
      </w:pPr>
      <w:r>
        <w:rPr>
          <w:color w:val="6E6158"/>
        </w:rPr>
        <w:t>Member, Arizona Sonoran Copper Company (ASCU) Board of Directors, 2021 to present, Chair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Nominating</w:t>
      </w:r>
      <w:r>
        <w:rPr>
          <w:color w:val="6E6158"/>
          <w:spacing w:val="40"/>
        </w:rPr>
        <w:t>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Committee</w:t>
      </w:r>
    </w:p>
    <w:p>
      <w:pPr>
        <w:pStyle w:val="BodyText"/>
        <w:spacing w:before="102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793"/>
      </w:pPr>
      <w:r>
        <w:rPr>
          <w:color w:val="6E6158"/>
          <w:spacing w:val="-2"/>
        </w:rPr>
        <w:t>Arizona California</w:t>
      </w:r>
    </w:p>
    <w:p>
      <w:pPr>
        <w:pStyle w:val="BodyText"/>
        <w:spacing w:line="422" w:lineRule="auto"/>
        <w:ind w:left="99" w:right="7793"/>
      </w:pPr>
      <w:r>
        <w:rPr>
          <w:color w:val="6E6158"/>
          <w:spacing w:val="-2"/>
        </w:rPr>
        <w:t>Connecticut </w:t>
      </w:r>
      <w:r>
        <w:rPr>
          <w:color w:val="6E6158"/>
        </w:rPr>
        <w:t>New York </w:t>
      </w:r>
      <w:r>
        <w:rPr>
          <w:color w:val="6E6158"/>
          <w:spacing w:val="-2"/>
        </w:rPr>
        <w:t>Kansas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strunk@fennemorelaw.com" TargetMode="External"/><Relationship Id="rId11" Type="http://schemas.openxmlformats.org/officeDocument/2006/relationships/hyperlink" Target="https://www.fennemorelaw.com/insights/newsletters/2020/sba-provides-much-needed-safe-harbor-for-ppp-loans-under-2-million" TargetMode="External"/><Relationship Id="rId12" Type="http://schemas.openxmlformats.org/officeDocument/2006/relationships/hyperlink" Target="https://www.fennemorelaw.com/insights/newsletters/2020/the-small-business-association-tightens-loophole-that-allowed-public-companies-to-receive-cares-act-funding" TargetMode="External"/><Relationship Id="rId13" Type="http://schemas.openxmlformats.org/officeDocument/2006/relationships/hyperlink" Target="https://www.fennemorelaw.com/insights/newsletters/2020/the-federal-reserve-s-main-street-lending-program" TargetMode="External"/><Relationship Id="rId14" Type="http://schemas.openxmlformats.org/officeDocument/2006/relationships/hyperlink" Target="https://www.fennemorelaw.com/insights/newsletters/2020/the-cares-act---paycheck-protection-progra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A. Strunk - Fennemore</dc:title>
  <dcterms:created xsi:type="dcterms:W3CDTF">2026-06-12T10:26:16Z</dcterms:created>
  <dcterms:modified xsi:type="dcterms:W3CDTF">2026-06-12T10:26:16Z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