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Scott Reynold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324" y="763308"/>
                            <a:ext cx="208597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SCOTT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REYNOLDS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378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931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4733" y="2226505"/>
                            <a:ext cx="15506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sreynolds@fennemorelaw.com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Scott Reynolds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3455;width:328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SCOTT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REYNOLDS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707.432.4406</w:t>
                        </w:r>
                      </w:p>
                    </w:txbxContent>
                  </v:textbox>
                  <w10:wrap type="none"/>
                </v:shape>
                <v:shape style="position:absolute;left:879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sreynolds@fennemorelaw.com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SCOTT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REYNOLDS</w:t>
      </w:r>
    </w:p>
    <w:p>
      <w:pPr>
        <w:pStyle w:val="BodyText"/>
        <w:spacing w:line="297" w:lineRule="auto" w:before="147"/>
        <w:ind w:left="99" w:right="710"/>
        <w:jc w:val="both"/>
      </w:pPr>
      <w:r>
        <w:rPr>
          <w:color w:val="6E6158"/>
        </w:rPr>
        <w:t>Scott Reynolds is a director in Fennemore’s trusts and estates practice, advising individuals, families, and business owners on estate planning, probate, and trust administration </w:t>
      </w:r>
      <w:r>
        <w:rPr>
          <w:color w:val="6E6158"/>
        </w:rPr>
        <w:t>matters throughout</w:t>
      </w:r>
      <w:r>
        <w:rPr>
          <w:color w:val="6E6158"/>
          <w:spacing w:val="17"/>
        </w:rPr>
        <w:t> </w:t>
      </w:r>
      <w:r>
        <w:rPr>
          <w:color w:val="6E6158"/>
        </w:rPr>
        <w:t>California.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is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Certified</w:t>
      </w:r>
      <w:r>
        <w:rPr>
          <w:color w:val="6E6158"/>
          <w:spacing w:val="17"/>
        </w:rPr>
        <w:t> </w:t>
      </w:r>
      <w:r>
        <w:rPr>
          <w:color w:val="6E6158"/>
        </w:rPr>
        <w:t>Specialist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Planning,</w:t>
      </w:r>
      <w:r>
        <w:rPr>
          <w:color w:val="6E6158"/>
          <w:spacing w:val="17"/>
        </w:rPr>
        <w:t> </w:t>
      </w:r>
      <w:r>
        <w:rPr>
          <w:color w:val="6E6158"/>
        </w:rPr>
        <w:t>Probate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</w:t>
      </w:r>
      <w:r>
        <w:rPr>
          <w:color w:val="6E6158"/>
          <w:spacing w:val="17"/>
        </w:rPr>
        <w:t> </w:t>
      </w:r>
      <w:r>
        <w:rPr>
          <w:color w:val="6E6158"/>
        </w:rPr>
        <w:t>Law,</w:t>
      </w:r>
    </w:p>
    <w:p>
      <w:pPr>
        <w:pStyle w:val="BodyText"/>
        <w:spacing w:line="302" w:lineRule="auto"/>
        <w:ind w:left="99" w:right="405"/>
        <w:jc w:val="both"/>
      </w:pPr>
      <w:r>
        <w:rPr>
          <w:color w:val="6E6158"/>
        </w:rPr>
        <w:t>designated by the State Bar of California Board of Legal Specialization, a distinction held by a limited number of attorneys in the state.</w:t>
      </w:r>
    </w:p>
    <w:p>
      <w:pPr>
        <w:pStyle w:val="BodyText"/>
        <w:spacing w:line="295" w:lineRule="auto" w:before="182"/>
        <w:ind w:left="99" w:right="170"/>
      </w:pPr>
      <w:r>
        <w:rPr>
          <w:color w:val="6E6158"/>
        </w:rPr>
        <w:t>Scott’s practice focuses on estate planning, trust administration, probate, business formations,</w:t>
      </w:r>
      <w:r>
        <w:rPr>
          <w:color w:val="6E6158"/>
          <w:spacing w:val="40"/>
        </w:rPr>
        <w:t> </w:t>
      </w:r>
      <w:r>
        <w:rPr>
          <w:color w:val="6E6158"/>
        </w:rPr>
        <w:t>business succession planning, and tax-related matters. He works with closely held businesses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high-net-worth individuals to develop strategies that preserve wealth, support long-term goals,</w:t>
      </w:r>
      <w:r>
        <w:rPr>
          <w:color w:val="6E6158"/>
          <w:spacing w:val="80"/>
        </w:rPr>
        <w:t> </w:t>
      </w:r>
      <w:r>
        <w:rPr>
          <w:color w:val="6E6158"/>
        </w:rPr>
        <w:t>and ensure smooth transitions across generations.</w:t>
      </w:r>
    </w:p>
    <w:p>
      <w:pPr>
        <w:pStyle w:val="BodyText"/>
        <w:spacing w:line="295" w:lineRule="auto" w:before="197"/>
        <w:ind w:left="99" w:right="182"/>
      </w:pPr>
      <w:r>
        <w:rPr>
          <w:color w:val="6E6158"/>
        </w:rPr>
        <w:t>Before entering the legal profession, Scott earned his MBA from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Berkeley and worked in the tax department of a Big Eight accounting firm in San Francisco. He</w:t>
      </w:r>
      <w:r>
        <w:rPr>
          <w:color w:val="6E6158"/>
          <w:spacing w:val="40"/>
        </w:rPr>
        <w:t> </w:t>
      </w:r>
      <w:r>
        <w:rPr>
          <w:color w:val="6E6158"/>
        </w:rPr>
        <w:t>later built a strong legal career across California, including serving as a senior partner at a</w:t>
      </w:r>
      <w:r>
        <w:rPr>
          <w:color w:val="6E6158"/>
          <w:spacing w:val="40"/>
        </w:rPr>
        <w:t> </w:t>
      </w:r>
      <w:r>
        <w:rPr>
          <w:color w:val="6E6158"/>
        </w:rPr>
        <w:t>Redlands-based firm and as a managing shareholder and practice group leader at a North Bay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firm.</w:t>
      </w:r>
    </w:p>
    <w:p>
      <w:pPr>
        <w:pStyle w:val="BodyText"/>
        <w:spacing w:line="295" w:lineRule="auto" w:before="194"/>
        <w:ind w:left="99" w:right="304"/>
      </w:pPr>
      <w:r>
        <w:rPr>
          <w:color w:val="6E6158"/>
        </w:rPr>
        <w:t>In 2015, Scott founded Reynolds Law, a firm focused on delivering practical estate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planning solutions to clients across Solano, Yolo, San Bernardino, and Riverside counties. In 2026,</w:t>
      </w:r>
      <w:r>
        <w:rPr>
          <w:color w:val="6E6158"/>
          <w:spacing w:val="40"/>
        </w:rPr>
        <w:t> </w:t>
      </w:r>
      <w:r>
        <w:rPr>
          <w:color w:val="6E6158"/>
        </w:rPr>
        <w:t>Reynolds</w:t>
      </w:r>
      <w:r>
        <w:rPr>
          <w:color w:val="6E6158"/>
          <w:spacing w:val="33"/>
        </w:rPr>
        <w:t> </w:t>
      </w:r>
      <w:r>
        <w:rPr>
          <w:color w:val="6E6158"/>
        </w:rPr>
        <w:t>Law</w:t>
      </w:r>
      <w:r>
        <w:rPr>
          <w:color w:val="6E6158"/>
          <w:spacing w:val="33"/>
        </w:rPr>
        <w:t> </w:t>
      </w:r>
      <w:r>
        <w:rPr>
          <w:color w:val="6E6158"/>
        </w:rPr>
        <w:t>joined</w:t>
      </w:r>
      <w:r>
        <w:rPr>
          <w:color w:val="6E6158"/>
          <w:spacing w:val="33"/>
        </w:rPr>
        <w:t> </w:t>
      </w:r>
      <w:r>
        <w:rPr>
          <w:color w:val="6E6158"/>
        </w:rPr>
        <w:t>forces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Fennemore,</w:t>
      </w:r>
      <w:r>
        <w:rPr>
          <w:color w:val="6E6158"/>
          <w:spacing w:val="33"/>
        </w:rPr>
        <w:t> </w:t>
      </w:r>
      <w:r>
        <w:rPr>
          <w:color w:val="6E6158"/>
        </w:rPr>
        <w:t>continuing</w:t>
      </w:r>
      <w:r>
        <w:rPr>
          <w:color w:val="6E6158"/>
          <w:spacing w:val="33"/>
        </w:rPr>
        <w:t> </w:t>
      </w:r>
      <w:r>
        <w:rPr>
          <w:color w:val="6E6158"/>
        </w:rPr>
        <w:t>service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existing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and expanding support as their needs grow with Fennemore’s broader platform, advanced</w:t>
      </w:r>
      <w:r>
        <w:rPr>
          <w:color w:val="6E6158"/>
          <w:spacing w:val="40"/>
        </w:rPr>
        <w:t> </w:t>
      </w:r>
      <w:r>
        <w:rPr>
          <w:color w:val="6E6158"/>
        </w:rPr>
        <w:t>technology stack, and forward-looking approach</w:t>
      </w:r>
    </w:p>
    <w:p>
      <w:pPr>
        <w:pStyle w:val="BodyText"/>
        <w:spacing w:line="292" w:lineRule="auto" w:before="203"/>
        <w:ind w:left="99" w:right="119"/>
      </w:pPr>
      <w:r>
        <w:rPr>
          <w:color w:val="6E6158"/>
        </w:rPr>
        <w:t>Scott has been recognized as a Northern California Super Lawyer for over 17 years. In addition to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practice,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taught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Redlands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eight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and regularly speaks on trust administration and estate planning topics for organizations, including</w:t>
      </w:r>
      <w:r>
        <w:rPr>
          <w:color w:val="6E6158"/>
          <w:spacing w:val="40"/>
        </w:rPr>
        <w:t> </w:t>
      </w:r>
      <w:r>
        <w:rPr>
          <w:color w:val="6E6158"/>
        </w:rPr>
        <w:t>Continuing</w:t>
      </w:r>
      <w:r>
        <w:rPr>
          <w:color w:val="6E6158"/>
          <w:spacing w:val="29"/>
        </w:rPr>
        <w:t> </w:t>
      </w:r>
      <w:r>
        <w:rPr>
          <w:color w:val="6E6158"/>
        </w:rPr>
        <w:t>Education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Southern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</w:t>
      </w:r>
      <w:r>
        <w:rPr>
          <w:color w:val="6E6158"/>
          <w:spacing w:val="29"/>
        </w:rPr>
        <w:t> </w:t>
      </w:r>
      <w:r>
        <w:rPr>
          <w:color w:val="6E6158"/>
        </w:rPr>
        <w:t>Forum.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59474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3017pt;width:1.65pt;height:1.65pt;mso-position-horizontal-relative:page;mso-position-vertical-relative:paragraph;z-index:15729152" id="docshape11" coordorigin="1670,94" coordsize="33,33" path="m1691,126l1682,126,1678,125,1671,118,1670,114,1670,105,1671,102,1678,95,1682,94,1691,94,1694,95,1701,102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323007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3657pt;width:1.65pt;height:1.65pt;mso-position-horizontal-relative:page;mso-position-vertical-relative:paragraph;z-index:15729664" id="docshape12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M.B.A., University of California, Berkeley,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63632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431pt;width:1.65pt;height:1.65pt;mso-position-horizontal-relative:page;mso-position-vertical-relative:paragraph;z-index:15730176" id="docshape1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Stanford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64587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5667pt;width:1.65pt;height:1.65pt;mso-position-horizontal-relative:page;mso-position-vertical-relative:paragraph;z-index:15730688" id="docshape14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322953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9415pt;width:1.65pt;height:1.65pt;mso-position-horizontal-relative:page;mso-position-vertical-relative:paragraph;z-index:15731200" id="docshape15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Business &amp; </w:t>
      </w:r>
      <w:r>
        <w:rPr>
          <w:color w:val="6E6158"/>
        </w:rPr>
        <w:t>Finance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59737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3769pt;width:1.65pt;height:1.65pt;mso-position-horizontal-relative:page;mso-position-vertical-relative:paragraph;z-index:15731712" id="docshape1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Northern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</w:rPr>
        <w:t>Lawyer,</w:t>
      </w:r>
      <w:r>
        <w:rPr>
          <w:color w:val="6E6158"/>
          <w:spacing w:val="9"/>
        </w:rPr>
        <w:t> </w:t>
      </w:r>
      <w:r>
        <w:rPr>
          <w:color w:val="6E6158"/>
        </w:rPr>
        <w:t>2005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2006,</w:t>
      </w:r>
      <w:r>
        <w:rPr>
          <w:color w:val="6E6158"/>
          <w:spacing w:val="9"/>
        </w:rPr>
        <w:t> </w:t>
      </w:r>
      <w:r>
        <w:rPr>
          <w:color w:val="6E6158"/>
        </w:rPr>
        <w:t>2008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2013,</w:t>
      </w:r>
      <w:r>
        <w:rPr>
          <w:color w:val="6E6158"/>
          <w:spacing w:val="9"/>
        </w:rPr>
        <w:t> </w:t>
      </w:r>
      <w:r>
        <w:rPr>
          <w:color w:val="6E6158"/>
        </w:rPr>
        <w:t>2019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263188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3475pt;width:1.65pt;height:1.65pt;mso-position-horizontal-relative:page;mso-position-vertical-relative:paragraph;z-index:15732224" id="docshape1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 in Estate Planning, Trust &amp; Probate Law, State Bar of California Board of</w:t>
      </w:r>
      <w:r>
        <w:rPr>
          <w:color w:val="6E6158"/>
          <w:spacing w:val="40"/>
        </w:rPr>
        <w:t> </w:t>
      </w:r>
      <w:r>
        <w:rPr>
          <w:color w:val="6E6158"/>
        </w:rPr>
        <w:t>Legal Specialization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143136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601pt;width:1.65pt;height:1.65pt;mso-position-horizontal-relative:page;mso-position-vertical-relative:paragraph;z-index:15732736" id="docshape1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Participant,</w:t>
      </w:r>
      <w:r>
        <w:rPr>
          <w:color w:val="6E6158"/>
          <w:spacing w:val="17"/>
        </w:rPr>
        <w:t> </w:t>
      </w:r>
      <w:r>
        <w:rPr>
          <w:color w:val="6E6158"/>
        </w:rPr>
        <w:t>Thirty-Third</w:t>
      </w:r>
      <w:r>
        <w:rPr>
          <w:color w:val="6E6158"/>
          <w:spacing w:val="17"/>
        </w:rPr>
        <w:t> </w:t>
      </w:r>
      <w:r>
        <w:rPr>
          <w:color w:val="6E6158"/>
        </w:rPr>
        <w:t>Annual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7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before="146"/>
      </w:pPr>
      <w:r>
        <w:rPr>
          <w:color w:val="6E6158"/>
          <w:spacing w:val="-2"/>
        </w:rPr>
        <w:t>CURRENT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152866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73pt;width:1.65pt;height:1.65pt;mso-position-horizontal-relative:page;mso-position-vertical-relative:paragraph;z-index:15733248" id="docshape19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Chairman, current member of Board of Directors and Executive Committee, Solano</w:t>
      </w:r>
      <w:r>
        <w:rPr>
          <w:color w:val="6E6158"/>
          <w:spacing w:val="40"/>
        </w:rPr>
        <w:t> </w:t>
      </w:r>
      <w:r>
        <w:rPr>
          <w:color w:val="6E6158"/>
        </w:rPr>
        <w:t>Economic Development Corporation,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236316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609pt;width:1.65pt;height:1.65pt;mso-position-horizontal-relative:page;mso-position-vertical-relative:paragraph;z-index:15733760" id="docshape2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Chairman, member, Board of Directors and Executive Committee, NorthBay Healthcare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142934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706pt;width:1.65pt;height:1.65pt;mso-position-horizontal-relative:page;mso-position-vertical-relative:paragraph;z-index:15734272" id="docshape2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174"/>
        <w:ind w:right="8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175269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752pt;width:1.65pt;height:1.65pt;mso-position-horizontal-relative:page;mso-position-vertical-relative:paragraph;z-index:15734784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433635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4501pt;width:1.65pt;height:1.65pt;mso-position-horizontal-relative:page;mso-position-vertical-relative:paragraph;z-index:15735296" id="docshape2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697167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95084pt;width:1.65pt;height:1.65pt;mso-position-horizontal-relative:page;mso-position-vertical-relative:paragraph;z-index:15735808" id="docshape24" coordorigin="1670,1098" coordsize="33,33" path="m1691,1130l1682,1130,1678,1129,1671,1123,1670,1119,1670,1110,1671,1106,1678,1099,1682,1098,1691,1098,1694,1099,1701,1106,1702,1110,1702,1114,1702,1119,1701,1123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955533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5.238853pt;width:1.65pt;height:1.65pt;mso-position-horizontal-relative:page;mso-position-vertical-relative:paragraph;z-index:15736320" id="docshape25" coordorigin="1670,1505" coordsize="33,33" path="m1691,1537l1682,1537,1678,1536,1671,1529,1670,1526,1670,1517,1671,1513,1678,1506,1682,1505,1691,1505,1694,1506,1701,1513,1702,1517,1702,1521,1702,1526,1701,1529,1694,1536,1691,1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Vacaville Solano Services Corporation (Opportunity House) Past Chairman, member of Board of Directors, Travis Regional Armed Forces Committee</w:t>
      </w:r>
      <w:r>
        <w:rPr>
          <w:color w:val="6E6158"/>
          <w:spacing w:val="40"/>
        </w:rPr>
        <w:t> </w:t>
      </w:r>
      <w:r>
        <w:rPr>
          <w:color w:val="6E6158"/>
        </w:rPr>
        <w:t>Current member, past President, member of Board of Directors, Vacaville Rotary Club Member, State Bar of California, Estate Planning, Trust and Probate Section</w:t>
      </w:r>
    </w:p>
    <w:p>
      <w:pPr>
        <w:pStyle w:val="BodyText"/>
        <w:spacing w:line="420" w:lineRule="auto" w:before="4"/>
        <w:ind w:right="4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62010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82750pt;width:1.65pt;height:1.65pt;mso-position-horizontal-relative:page;mso-position-vertical-relative:paragraph;z-index:15736832" id="docshape26" coordorigin="1670,98" coordsize="33,33" path="m1691,130l1682,130,1678,129,1671,122,1670,118,1670,109,1671,106,1678,99,1682,98,1691,98,1694,99,1701,106,1702,109,1702,114,1702,118,1701,122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320376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6494pt;width:1.65pt;height:1.65pt;mso-position-horizontal-relative:page;mso-position-vertical-relative:paragraph;z-index:15737344" id="docshape27" coordorigin="1670,505" coordsize="33,33" path="m1691,537l1682,537,1678,535,1671,529,1670,525,1670,516,1671,512,1678,506,1682,505,1691,505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Solano County Bar Association 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Bernardino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2"/>
      </w:pPr>
      <w:r>
        <w:rPr>
          <w:color w:val="6E6158"/>
          <w:spacing w:val="-4"/>
        </w:rPr>
        <w:t>PAST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158080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265pt;width:1.65pt;height:1.65pt;mso-position-horizontal-relative:page;mso-position-vertical-relative:paragraph;z-index:15737856" id="docshape28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Chairman, member of Board of Directors and Executive Committee, Fairfield-</w:t>
      </w:r>
      <w:r>
        <w:rPr>
          <w:color w:val="6E6158"/>
        </w:rPr>
        <w:t>Suisun</w:t>
      </w:r>
      <w:r>
        <w:rPr>
          <w:color w:val="6E6158"/>
          <w:spacing w:val="40"/>
        </w:rPr>
        <w:t> </w:t>
      </w:r>
      <w:r>
        <w:rPr>
          <w:color w:val="6E6158"/>
        </w:rPr>
        <w:t>Chamber of Commerce</w:t>
      </w:r>
    </w:p>
    <w:p>
      <w:pPr>
        <w:pStyle w:val="BodyText"/>
        <w:spacing w:line="420" w:lineRule="auto" w:before="112"/>
        <w:ind w:right="8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130881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5615pt;width:1.65pt;height:1.65pt;mso-position-horizontal-relative:page;mso-position-vertical-relative:paragraph;z-index:15738368" id="docshape29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394415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56303pt;width:1.65pt;height:1.65pt;mso-position-horizontal-relative:page;mso-position-vertical-relative:paragraph;z-index:15738880" id="docshape30" coordorigin="1670,621" coordsize="33,33" path="m1691,654l1682,654,1678,652,1671,646,1670,642,1670,633,1671,629,1678,623,1682,621,1691,621,1694,623,1701,629,1702,633,1702,637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founder, President and member, Board of Directors, Solano Bicycle Classic Former Director, Solano Workforce Development Board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078pt;width:1.65pt;height:1.65pt;mso-position-horizontal-relative:page;mso-position-vertical-relative:paragraph;z-index:15739392" id="docshape3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Vacaville</w:t>
      </w:r>
      <w:r>
        <w:rPr>
          <w:color w:val="6E6158"/>
          <w:spacing w:val="9"/>
        </w:rPr>
        <w:t> </w:t>
      </w:r>
      <w:r>
        <w:rPr>
          <w:color w:val="6E6158"/>
        </w:rPr>
        <w:t>Neighborhood</w:t>
      </w:r>
      <w:r>
        <w:rPr>
          <w:color w:val="6E6158"/>
          <w:spacing w:val="10"/>
        </w:rPr>
        <w:t> </w:t>
      </w:r>
      <w:r>
        <w:rPr>
          <w:color w:val="6E6158"/>
        </w:rPr>
        <w:t>Boys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Girls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292" w:lineRule="auto" w:before="182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268381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366pt;width:1.65pt;height:1.65pt;mso-position-horizontal-relative:page;mso-position-vertical-relative:paragraph;z-index:15739904" id="docshape32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Chairman, member of Board of Directors and Executive Committee, Vacaville Chamber of Commerce</w:t>
      </w:r>
    </w:p>
    <w:p>
      <w:pPr>
        <w:pStyle w:val="BodyText"/>
        <w:spacing w:line="292" w:lineRule="auto" w:before="124"/>
        <w:ind w:righ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231092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276pt;width:1.65pt;height:1.65pt;mso-position-horizontal-relative:page;mso-position-vertical-relative:paragraph;z-index:15740416" id="docshape33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Past-President and Member of Board of Directors and Executive Committee, </w:t>
      </w:r>
      <w:r>
        <w:rPr>
          <w:color w:val="6E6158"/>
        </w:rPr>
        <w:t>Redlands Chamber of Commerce</w:t>
      </w:r>
    </w:p>
    <w:p>
      <w:pPr>
        <w:pStyle w:val="BodyText"/>
        <w:spacing w:line="420" w:lineRule="auto" w:before="131"/>
        <w:ind w:right="2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142791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387pt;width:1.65pt;height:1.65pt;mso-position-horizontal-relative:page;mso-position-vertical-relative:paragraph;z-index:15740928" id="docshape3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406323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4001pt;width:1.65pt;height:1.65pt;mso-position-horizontal-relative:page;mso-position-vertical-relative:paragraph;z-index:15741440" id="docshape35" coordorigin="1670,640" coordsize="33,33" path="m1691,672l1682,672,1678,671,1671,664,1670,661,1670,652,1671,648,1678,641,1682,640,1691,640,1694,641,1701,648,1702,652,1702,656,1702,661,1701,664,1694,671,1691,6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Past-President Member, Board of Directors, United Way of Redlands </w:t>
      </w:r>
      <w:r>
        <w:rPr>
          <w:color w:val="6E6158"/>
        </w:rPr>
        <w:t>Area Past-President, Member of Board of Directors, Redlands Rotary Club</w:t>
      </w:r>
    </w:p>
    <w:p>
      <w:pPr>
        <w:pStyle w:val="BodyText"/>
        <w:spacing w:line="427" w:lineRule="auto"/>
        <w:ind w:right="3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63763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778pt;width:1.65pt;height:1.65pt;mso-position-horizontal-relative:page;mso-position-vertical-relative:paragraph;z-index:15741952" id="docshape3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322129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4521pt;width:1.65pt;height:1.65pt;mso-position-horizontal-relative:page;mso-position-vertical-relative:paragraph;z-index:15742464" id="docshape37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Board of Directors, Redlands Community Hospital Past-President,</w:t>
      </w:r>
      <w:r>
        <w:rPr>
          <w:color w:val="6E6158"/>
          <w:spacing w:val="15"/>
        </w:rPr>
        <w:t> </w:t>
      </w: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Directors,</w:t>
      </w:r>
      <w:r>
        <w:rPr>
          <w:color w:val="6E6158"/>
          <w:spacing w:val="15"/>
        </w:rPr>
        <w:t> </w:t>
      </w:r>
      <w:r>
        <w:rPr>
          <w:color w:val="6E6158"/>
        </w:rPr>
        <w:t>Redlands</w:t>
      </w:r>
      <w:r>
        <w:rPr>
          <w:color w:val="6E6158"/>
          <w:spacing w:val="15"/>
        </w:rPr>
        <w:t> </w:t>
      </w:r>
      <w:r>
        <w:rPr>
          <w:color w:val="6E6158"/>
        </w:rPr>
        <w:t>Bicycle</w:t>
      </w:r>
      <w:r>
        <w:rPr>
          <w:color w:val="6E6158"/>
          <w:spacing w:val="15"/>
        </w:rPr>
        <w:t> </w:t>
      </w:r>
      <w:r>
        <w:rPr>
          <w:color w:val="6E6158"/>
        </w:rPr>
        <w:t>Classic,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after="0" w:line="427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976" id="docshape3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5"/>
        </w:rPr>
        <w:t> </w:t>
      </w:r>
      <w:r>
        <w:rPr>
          <w:color w:val="6E6158"/>
        </w:rPr>
        <w:t>Chairman,</w:t>
      </w:r>
      <w:r>
        <w:rPr>
          <w:color w:val="6E6158"/>
          <w:spacing w:val="15"/>
        </w:rPr>
        <w:t> </w:t>
      </w:r>
      <w:r>
        <w:rPr>
          <w:color w:val="6E6158"/>
        </w:rPr>
        <w:t>Commissioner,</w:t>
      </w:r>
      <w:r>
        <w:rPr>
          <w:color w:val="6E6158"/>
          <w:spacing w:val="15"/>
        </w:rPr>
        <w:t> </w:t>
      </w:r>
      <w:r>
        <w:rPr>
          <w:color w:val="6E6158"/>
        </w:rPr>
        <w:t>Redlands</w:t>
      </w:r>
      <w:r>
        <w:rPr>
          <w:color w:val="6E6158"/>
          <w:spacing w:val="15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Commission</w:t>
      </w:r>
    </w:p>
    <w:p>
      <w:pPr>
        <w:pStyle w:val="BodyText"/>
        <w:spacing w:line="420" w:lineRule="auto" w:before="174"/>
        <w:ind w:right="10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3488" id="docshape3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444037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963615pt;width:1.65pt;height:1.65pt;mso-position-horizontal-relative:page;mso-position-vertical-relative:paragraph;z-index:15744000" id="docshape40" coordorigin="1670,699" coordsize="33,33" path="m1691,732l1682,732,1678,730,1671,724,1670,720,1670,711,1671,707,1678,701,1682,699,1691,699,1694,701,1701,707,1702,711,1702,716,1702,720,1701,724,1694,730,1691,7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Co-Founder, past Chairman, member of Redlands Chili Cookoff &amp; Firemen’s Muster Past Director, Secretary of Redlands 4</w:t>
      </w:r>
      <w:r>
        <w:rPr>
          <w:color w:val="6E6158"/>
          <w:position w:val="7"/>
          <w:sz w:val="16"/>
        </w:rPr>
        <w:t>th </w:t>
      </w:r>
      <w:r>
        <w:rPr>
          <w:color w:val="6E6158"/>
        </w:rPr>
        <w:t>of July Committee</w:t>
      </w:r>
    </w:p>
    <w:p>
      <w:pPr>
        <w:pStyle w:val="BodyText"/>
        <w:spacing w:line="420" w:lineRule="auto"/>
        <w:ind w:right="3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59217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62811pt;width:1.65pt;height:1.65pt;mso-position-horizontal-relative:page;mso-position-vertical-relative:paragraph;z-index:15744512" id="docshape41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322752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13603pt;width:1.65pt;height:1.65pt;mso-position-horizontal-relative:page;mso-position-vertical-relative:paragraph;z-index:15745024" id="docshape42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Redlands Economic Development </w:t>
      </w:r>
      <w:r>
        <w:rPr>
          <w:color w:val="6E6158"/>
        </w:rPr>
        <w:t>Corp. Past President, Director, United Way of Redlands Area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64615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7868pt;width:1.65pt;height:1.65pt;mso-position-horizontal-relative:page;mso-position-vertical-relative:paragraph;z-index:15745536" id="docshape43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175055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928pt;width:1.65pt;height:1.65pt;mso-position-horizontal-relative:page;mso-position-vertical-relative:paragraph;z-index:15746048" id="docshape4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175092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831pt;width:1.65pt;height:1.65pt;mso-position-horizontal-relative:page;mso-position-vertical-relative:paragraph;z-index:15746560" id="docshape4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175042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876pt;width:1.65pt;height:1.65pt;mso-position-horizontal-relative:page;mso-position-vertical-relative:paragraph;z-index:15747072" id="docshape4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sreynold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Reynolds - Fennemore</dc:title>
  <dcterms:created xsi:type="dcterms:W3CDTF">2026-06-01T12:51:00Z</dcterms:created>
  <dcterms:modified xsi:type="dcterms:W3CDTF">2026-06-01T12:51:00Z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2026-06-01T00:00:00Z</vt:filetime>
  </property>
  <property fmtid="{D5CDD505-2E9C-101B-9397-08002B2CF9AE}" pid="6" name="Producer">
    <vt:lpwstr>Skia/PDF m148</vt:lpwstr>
  </property>
</Properties>
</file>