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Scott Reynold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8929" y="1369338"/>
                            <a:ext cx="20726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20675">
                                <a:moveTo>
                                  <a:pt x="20720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2093" y="320382"/>
                                </a:lnTo>
                                <a:lnTo>
                                  <a:pt x="2072093" y="315214"/>
                                </a:lnTo>
                                <a:close/>
                              </a:path>
                              <a:path w="2072639" h="320675">
                                <a:moveTo>
                                  <a:pt x="2072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2093" y="5168"/>
                                </a:lnTo>
                                <a:lnTo>
                                  <a:pt x="207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7324" y="763308"/>
                            <a:ext cx="208597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SCOTT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REYNOLDS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25444" y="1859626"/>
                            <a:ext cx="469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378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707.432.4406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9313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707.207.7955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4733" y="2226505"/>
                            <a:ext cx="15506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sreynolds@fennemorelaw.com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NEW26 Scott Reynolds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77;top:-2501;width:3264;height:505" id="docshape5" coordorigin="6878,-2500" coordsize="3264,505" path="m10141,-2004l6878,-2004,6878,-1996,10141,-1996,10141,-2004xm10141,-2500l6878,-2500,6878,-2492,10141,-2492,10141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5;top:-3455;width:3285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SCOTT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REYNOLDS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47;top:-1729;width:73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5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707.432.4406</w:t>
                        </w:r>
                      </w:p>
                    </w:txbxContent>
                  </v:textbox>
                  <w10:wrap type="none"/>
                </v:shape>
                <v:shape style="position:absolute;left:879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707.207.7955</w:t>
                        </w:r>
                      </w:p>
                    </w:txbxContent>
                  </v:textbox>
                  <w10:wrap type="none"/>
                </v:shape>
                <v:shape style="position:absolute;left:7296;top:-1151;width:244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sreynolds@fennemorelaw.com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SCOTT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REYNOLDS</w:t>
      </w:r>
    </w:p>
    <w:p>
      <w:pPr>
        <w:pStyle w:val="BodyText"/>
        <w:spacing w:line="297" w:lineRule="auto" w:before="147"/>
        <w:ind w:right="710"/>
        <w:jc w:val="both"/>
      </w:pPr>
      <w:r>
        <w:rPr>
          <w:color w:val="6E6158"/>
        </w:rPr>
        <w:t>Scott Reynolds is a director in Fennemore’s trusts and estates practice, advising individuals, families, and business owners on estate planning, probate, and trust administration </w:t>
      </w:r>
      <w:r>
        <w:rPr>
          <w:color w:val="6E6158"/>
        </w:rPr>
        <w:t>matters throughout</w:t>
      </w:r>
      <w:r>
        <w:rPr>
          <w:color w:val="6E6158"/>
          <w:spacing w:val="17"/>
        </w:rPr>
        <w:t> </w:t>
      </w:r>
      <w:r>
        <w:rPr>
          <w:color w:val="6E6158"/>
        </w:rPr>
        <w:t>California.</w:t>
      </w:r>
      <w:r>
        <w:rPr>
          <w:color w:val="6E6158"/>
          <w:spacing w:val="17"/>
        </w:rPr>
        <w:t> </w:t>
      </w:r>
      <w:r>
        <w:rPr>
          <w:color w:val="6E6158"/>
        </w:rPr>
        <w:t>He</w:t>
      </w:r>
      <w:r>
        <w:rPr>
          <w:color w:val="6E6158"/>
          <w:spacing w:val="17"/>
        </w:rPr>
        <w:t> </w:t>
      </w:r>
      <w:r>
        <w:rPr>
          <w:color w:val="6E6158"/>
        </w:rPr>
        <w:t>is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Certified</w:t>
      </w:r>
      <w:r>
        <w:rPr>
          <w:color w:val="6E6158"/>
          <w:spacing w:val="17"/>
        </w:rPr>
        <w:t> </w:t>
      </w:r>
      <w:r>
        <w:rPr>
          <w:color w:val="6E6158"/>
        </w:rPr>
        <w:t>Specialist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Estate</w:t>
      </w:r>
      <w:r>
        <w:rPr>
          <w:color w:val="6E6158"/>
          <w:spacing w:val="17"/>
        </w:rPr>
        <w:t> </w:t>
      </w:r>
      <w:r>
        <w:rPr>
          <w:color w:val="6E6158"/>
        </w:rPr>
        <w:t>Planning,</w:t>
      </w:r>
      <w:r>
        <w:rPr>
          <w:color w:val="6E6158"/>
          <w:spacing w:val="17"/>
        </w:rPr>
        <w:t> </w:t>
      </w:r>
      <w:r>
        <w:rPr>
          <w:color w:val="6E6158"/>
        </w:rPr>
        <w:t>Probate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Trust</w:t>
      </w:r>
      <w:r>
        <w:rPr>
          <w:color w:val="6E6158"/>
          <w:spacing w:val="17"/>
        </w:rPr>
        <w:t> </w:t>
      </w:r>
      <w:r>
        <w:rPr>
          <w:color w:val="6E6158"/>
        </w:rPr>
        <w:t>Law,</w:t>
      </w:r>
    </w:p>
    <w:p>
      <w:pPr>
        <w:pStyle w:val="BodyText"/>
        <w:spacing w:line="302" w:lineRule="auto"/>
        <w:ind w:right="405"/>
        <w:jc w:val="both"/>
      </w:pPr>
      <w:r>
        <w:rPr>
          <w:color w:val="6E6158"/>
        </w:rPr>
        <w:t>designated by the State Bar of California Board of Legal Specialization, a distinction held by a limited number of attorneys in the state.</w:t>
      </w:r>
    </w:p>
    <w:p>
      <w:pPr>
        <w:pStyle w:val="BodyText"/>
        <w:spacing w:line="295" w:lineRule="auto" w:before="182"/>
        <w:ind w:right="170"/>
      </w:pPr>
      <w:r>
        <w:rPr>
          <w:color w:val="6E6158"/>
        </w:rPr>
        <w:t>Scott’s practice focuses on estate planning, trust administration, probate, business formations,</w:t>
      </w:r>
      <w:r>
        <w:rPr>
          <w:color w:val="6E6158"/>
          <w:spacing w:val="40"/>
        </w:rPr>
        <w:t> </w:t>
      </w:r>
      <w:r>
        <w:rPr>
          <w:color w:val="6E6158"/>
        </w:rPr>
        <w:t>business succession planning, and tax-related matters. He works with closely held businesses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high-net-worth individuals to develop strategies that preserve wealth, support long-term goals,</w:t>
      </w:r>
      <w:r>
        <w:rPr>
          <w:color w:val="6E6158"/>
          <w:spacing w:val="80"/>
        </w:rPr>
        <w:t> </w:t>
      </w:r>
      <w:r>
        <w:rPr>
          <w:color w:val="6E6158"/>
        </w:rPr>
        <w:t>and ensure smooth transitions across generations.</w:t>
      </w:r>
    </w:p>
    <w:p>
      <w:pPr>
        <w:pStyle w:val="BodyText"/>
        <w:spacing w:line="295" w:lineRule="auto" w:before="197"/>
        <w:ind w:right="182"/>
      </w:pPr>
      <w:r>
        <w:rPr>
          <w:color w:val="6E6158"/>
        </w:rPr>
        <w:t>Before entering the legal profession, Scott earned his MBA from the University of California,</w:t>
      </w:r>
      <w:r>
        <w:rPr>
          <w:color w:val="6E6158"/>
          <w:spacing w:val="40"/>
        </w:rPr>
        <w:t> </w:t>
      </w:r>
      <w:r>
        <w:rPr>
          <w:color w:val="6E6158"/>
        </w:rPr>
        <w:t>Berkeley and worked in the tax department of a Big Eight accounting firm in San Francisco. He</w:t>
      </w:r>
      <w:r>
        <w:rPr>
          <w:color w:val="6E6158"/>
          <w:spacing w:val="40"/>
        </w:rPr>
        <w:t> </w:t>
      </w:r>
      <w:r>
        <w:rPr>
          <w:color w:val="6E6158"/>
        </w:rPr>
        <w:t>later built a strong legal career across California, including serving as a senior partner at a</w:t>
      </w:r>
      <w:r>
        <w:rPr>
          <w:color w:val="6E6158"/>
          <w:spacing w:val="40"/>
        </w:rPr>
        <w:t> </w:t>
      </w:r>
      <w:r>
        <w:rPr>
          <w:color w:val="6E6158"/>
        </w:rPr>
        <w:t>Redlands-based firm and as a managing shareholder and practice group leader at a North Bay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firm.</w:t>
      </w:r>
    </w:p>
    <w:p>
      <w:pPr>
        <w:pStyle w:val="BodyText"/>
        <w:spacing w:line="292" w:lineRule="auto" w:before="194"/>
      </w:pPr>
      <w:r>
        <w:rPr>
          <w:color w:val="6E6158"/>
        </w:rPr>
        <w:t>In 2015, Scott founded Reynolds Law, a firm focused on delivering practical estate and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planning</w:t>
      </w:r>
      <w:r>
        <w:rPr>
          <w:color w:val="6E6158"/>
          <w:spacing w:val="32"/>
        </w:rPr>
        <w:t> </w:t>
      </w:r>
      <w:r>
        <w:rPr>
          <w:color w:val="6E6158"/>
        </w:rPr>
        <w:t>solutions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across</w:t>
      </w:r>
      <w:r>
        <w:rPr>
          <w:color w:val="6E6158"/>
          <w:spacing w:val="32"/>
        </w:rPr>
        <w:t> </w:t>
      </w:r>
      <w:r>
        <w:rPr>
          <w:color w:val="6E6158"/>
        </w:rPr>
        <w:t>Solano,</w:t>
      </w:r>
      <w:r>
        <w:rPr>
          <w:color w:val="6E6158"/>
          <w:spacing w:val="32"/>
        </w:rPr>
        <w:t> </w:t>
      </w:r>
      <w:r>
        <w:rPr>
          <w:color w:val="6E6158"/>
        </w:rPr>
        <w:t>Yolo,</w:t>
      </w:r>
      <w:r>
        <w:rPr>
          <w:color w:val="6E6158"/>
          <w:spacing w:val="32"/>
        </w:rPr>
        <w:t> </w:t>
      </w:r>
      <w:r>
        <w:rPr>
          <w:color w:val="6E6158"/>
        </w:rPr>
        <w:t>San</w:t>
      </w:r>
      <w:r>
        <w:rPr>
          <w:color w:val="6E6158"/>
          <w:spacing w:val="32"/>
        </w:rPr>
        <w:t> </w:t>
      </w:r>
      <w:r>
        <w:rPr>
          <w:color w:val="6E6158"/>
        </w:rPr>
        <w:t>Bernardino,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Riverside</w:t>
      </w:r>
      <w:r>
        <w:rPr>
          <w:color w:val="6E6158"/>
          <w:spacing w:val="32"/>
        </w:rPr>
        <w:t> </w:t>
      </w:r>
      <w:r>
        <w:rPr>
          <w:color w:val="6E6158"/>
        </w:rPr>
        <w:t>counties.</w:t>
      </w:r>
    </w:p>
    <w:p>
      <w:pPr>
        <w:pStyle w:val="BodyText"/>
        <w:spacing w:line="295" w:lineRule="auto" w:before="205"/>
        <w:ind w:right="150"/>
      </w:pPr>
      <w:r>
        <w:rPr>
          <w:color w:val="6E6158"/>
        </w:rPr>
        <w:t>Scott has been recognized as a Northern California Super Lawyer for over 17 years. In addition to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practice,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taught</w:t>
      </w:r>
      <w:r>
        <w:rPr>
          <w:color w:val="6E6158"/>
          <w:spacing w:val="25"/>
        </w:rPr>
        <w:t> </w:t>
      </w:r>
      <w:r>
        <w:rPr>
          <w:color w:val="6E6158"/>
        </w:rPr>
        <w:t>business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at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University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Redlands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eight</w:t>
      </w:r>
      <w:r>
        <w:rPr>
          <w:color w:val="6E6158"/>
          <w:spacing w:val="25"/>
        </w:rPr>
        <w:t> </w:t>
      </w:r>
      <w:r>
        <w:rPr>
          <w:color w:val="6E6158"/>
        </w:rPr>
        <w:t>years</w:t>
      </w:r>
      <w:r>
        <w:rPr>
          <w:color w:val="6E6158"/>
          <w:spacing w:val="25"/>
        </w:rPr>
        <w:t> </w:t>
      </w:r>
      <w:r>
        <w:rPr>
          <w:color w:val="6E6158"/>
        </w:rPr>
        <w:t>and regularly speaks on trust administration and estate planning topics for organizations, including</w:t>
      </w:r>
      <w:r>
        <w:rPr>
          <w:color w:val="6E6158"/>
          <w:spacing w:val="40"/>
        </w:rPr>
        <w:t> </w:t>
      </w:r>
      <w:r>
        <w:rPr>
          <w:color w:val="6E6158"/>
        </w:rPr>
        <w:t>Continuing</w:t>
      </w:r>
      <w:r>
        <w:rPr>
          <w:color w:val="6E6158"/>
          <w:spacing w:val="29"/>
        </w:rPr>
        <w:t> </w:t>
      </w:r>
      <w:r>
        <w:rPr>
          <w:color w:val="6E6158"/>
        </w:rPr>
        <w:t>Education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Bar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Southern</w:t>
      </w:r>
      <w:r>
        <w:rPr>
          <w:color w:val="6E6158"/>
          <w:spacing w:val="29"/>
        </w:rPr>
        <w:t> </w:t>
      </w:r>
      <w:r>
        <w:rPr>
          <w:color w:val="6E6158"/>
        </w:rPr>
        <w:t>California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Planning</w:t>
      </w:r>
      <w:r>
        <w:rPr>
          <w:color w:val="6E6158"/>
          <w:spacing w:val="29"/>
        </w:rPr>
        <w:t> </w:t>
      </w:r>
      <w:r>
        <w:rPr>
          <w:color w:val="6E6158"/>
        </w:rPr>
        <w:t>Forum.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3652"/>
      </w:pPr>
      <w:r>
        <w:rPr>
          <w:color w:val="6E6158"/>
        </w:rPr>
        <w:t>J.D., McGeorge School of Law, University of the </w:t>
      </w:r>
      <w:r>
        <w:rPr>
          <w:color w:val="6E6158"/>
        </w:rPr>
        <w:t>Pacific</w:t>
      </w:r>
      <w:r>
        <w:rPr>
          <w:color w:val="6E6158"/>
        </w:rPr>
        <w:t> M.B.A., University of California, Berkeley,</w:t>
      </w:r>
    </w:p>
    <w:p>
      <w:pPr>
        <w:pStyle w:val="BodyText"/>
        <w:spacing w:line="231" w:lineRule="exact"/>
      </w:pPr>
      <w:r>
        <w:rPr>
          <w:color w:val="6E6158"/>
        </w:rPr>
        <w:t>B.A.,</w:t>
      </w:r>
      <w:r>
        <w:rPr>
          <w:color w:val="6E6158"/>
          <w:spacing w:val="11"/>
        </w:rPr>
        <w:t> </w:t>
      </w:r>
      <w:r>
        <w:rPr>
          <w:color w:val="6E6158"/>
        </w:rPr>
        <w:t>Stanford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Northern</w:t>
      </w:r>
      <w:r>
        <w:rPr>
          <w:color w:val="6E6158"/>
          <w:spacing w:val="8"/>
        </w:rPr>
        <w:t> </w: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</w:rPr>
        <w:t>Super</w:t>
      </w:r>
      <w:r>
        <w:rPr>
          <w:color w:val="6E6158"/>
          <w:spacing w:val="9"/>
        </w:rPr>
        <w:t> </w:t>
      </w:r>
      <w:r>
        <w:rPr>
          <w:color w:val="6E6158"/>
        </w:rPr>
        <w:t>Lawyer,</w:t>
      </w:r>
      <w:r>
        <w:rPr>
          <w:color w:val="6E6158"/>
          <w:spacing w:val="9"/>
        </w:rPr>
        <w:t> </w:t>
      </w:r>
      <w:r>
        <w:rPr>
          <w:color w:val="6E6158"/>
        </w:rPr>
        <w:t>2005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</w:rPr>
        <w:t>2006,</w:t>
      </w:r>
      <w:r>
        <w:rPr>
          <w:color w:val="6E6158"/>
          <w:spacing w:val="9"/>
        </w:rPr>
        <w:t> </w:t>
      </w:r>
      <w:r>
        <w:rPr>
          <w:color w:val="6E6158"/>
        </w:rPr>
        <w:t>2008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</w:rPr>
        <w:t>2013,</w:t>
      </w:r>
      <w:r>
        <w:rPr>
          <w:color w:val="6E6158"/>
          <w:spacing w:val="9"/>
        </w:rPr>
        <w:t> </w:t>
      </w:r>
      <w:r>
        <w:rPr>
          <w:color w:val="6E6158"/>
        </w:rPr>
        <w:t>2019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82"/>
      </w:pPr>
      <w:r>
        <w:rPr>
          <w:color w:val="6E6158"/>
        </w:rPr>
        <w:t>Certified Specialist in Estate Planning, Trust &amp; Probate Law, State Bar of California Board of Legal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Specialization</w:t>
      </w:r>
    </w:p>
    <w:p>
      <w:pPr>
        <w:pStyle w:val="BodyText"/>
        <w:spacing w:before="123"/>
      </w:pPr>
      <w:r>
        <w:rPr>
          <w:color w:val="6E6158"/>
        </w:rPr>
        <w:t>Participant,</w:t>
      </w:r>
      <w:r>
        <w:rPr>
          <w:color w:val="6E6158"/>
          <w:spacing w:val="17"/>
        </w:rPr>
        <w:t> </w:t>
      </w:r>
      <w:r>
        <w:rPr>
          <w:color w:val="6E6158"/>
        </w:rPr>
        <w:t>Thirty-Third</w:t>
      </w:r>
      <w:r>
        <w:rPr>
          <w:color w:val="6E6158"/>
          <w:spacing w:val="17"/>
        </w:rPr>
        <w:t> </w:t>
      </w:r>
      <w:r>
        <w:rPr>
          <w:color w:val="6E6158"/>
        </w:rPr>
        <w:t>Annual</w:t>
      </w:r>
      <w:r>
        <w:rPr>
          <w:color w:val="6E6158"/>
          <w:spacing w:val="17"/>
        </w:rPr>
        <w:t> </w:t>
      </w:r>
      <w:r>
        <w:rPr>
          <w:color w:val="6E6158"/>
        </w:rPr>
        <w:t>National</w:t>
      </w:r>
      <w:r>
        <w:rPr>
          <w:color w:val="6E6158"/>
          <w:spacing w:val="17"/>
        </w:rPr>
        <w:t> </w:t>
      </w:r>
      <w:r>
        <w:rPr>
          <w:color w:val="6E6158"/>
        </w:rPr>
        <w:t>Security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Forum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2"/>
        <w:spacing w:before="155"/>
      </w:pPr>
      <w:r>
        <w:rPr>
          <w:color w:val="6E6158"/>
          <w:spacing w:val="-2"/>
        </w:rPr>
        <w:t>CURRENT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170"/>
      </w:pPr>
      <w:r>
        <w:rPr>
          <w:color w:val="6E6158"/>
        </w:rPr>
        <w:t>Former Chairman, current member of Board of Directors and Executive Committee, Solano</w:t>
      </w:r>
      <w:r>
        <w:rPr>
          <w:color w:val="6E6158"/>
          <w:spacing w:val="40"/>
        </w:rPr>
        <w:t> </w:t>
      </w:r>
      <w:r>
        <w:rPr>
          <w:color w:val="6E6158"/>
        </w:rPr>
        <w:t>Economic Development Corporation,</w:t>
      </w:r>
    </w:p>
    <w:p>
      <w:pPr>
        <w:pStyle w:val="BodyText"/>
        <w:spacing w:line="302" w:lineRule="auto" w:before="124"/>
        <w:ind w:right="150"/>
      </w:pPr>
      <w:r>
        <w:rPr>
          <w:color w:val="6E6158"/>
        </w:rPr>
        <w:t>Vice Chairman, member, Board of Directors and Executive Committee, NorthBay Healthcare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12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American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2" w:lineRule="auto" w:before="174"/>
        <w:ind w:right="1149"/>
      </w:pPr>
      <w:r>
        <w:rPr>
          <w:color w:val="6E6158"/>
        </w:rPr>
        <w:t>Member, Board of Directors, Vacaville Solano Services Corporation (Opportunity House) Past Chairman, member of Board of Directors, Travis Regional Armed Forces Committee</w:t>
      </w:r>
      <w:r>
        <w:rPr>
          <w:color w:val="6E6158"/>
          <w:spacing w:val="40"/>
        </w:rPr>
        <w:t> </w:t>
      </w:r>
      <w:r>
        <w:rPr>
          <w:color w:val="6E6158"/>
        </w:rPr>
        <w:t>Current member, past President, member of Board of Directors, Vacaville Rotary Club Member, State Bar of California, Estate Planning, Trust and Probate Section</w:t>
      </w:r>
    </w:p>
    <w:p>
      <w:pPr>
        <w:pStyle w:val="BodyText"/>
        <w:spacing w:line="420" w:lineRule="auto"/>
        <w:ind w:right="4746"/>
      </w:pPr>
      <w:r>
        <w:rPr>
          <w:color w:val="6E6158"/>
        </w:rPr>
        <w:t>Member, Solano County Bar Association Member,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Bernardino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Heading2"/>
      </w:pPr>
      <w:r>
        <w:rPr>
          <w:color w:val="6E6158"/>
          <w:spacing w:val="-4"/>
        </w:rPr>
        <w:t>PAST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 w:before="1"/>
        <w:ind w:right="170"/>
      </w:pPr>
      <w:r>
        <w:rPr>
          <w:color w:val="6E6158"/>
        </w:rPr>
        <w:t>Former Chairman, member of Board of Directors and Executive Committee, Fairfield-</w:t>
      </w:r>
      <w:r>
        <w:rPr>
          <w:color w:val="6E6158"/>
        </w:rPr>
        <w:t>Suisun</w:t>
      </w:r>
      <w:r>
        <w:rPr>
          <w:color w:val="6E6158"/>
          <w:spacing w:val="40"/>
        </w:rPr>
        <w:t> </w:t>
      </w:r>
      <w:r>
        <w:rPr>
          <w:color w:val="6E6158"/>
        </w:rPr>
        <w:t>Chamber of Commerce</w:t>
      </w:r>
    </w:p>
    <w:p>
      <w:pPr>
        <w:pStyle w:val="BodyText"/>
        <w:spacing w:line="420" w:lineRule="auto" w:before="131"/>
        <w:ind w:right="1149"/>
      </w:pPr>
      <w:r>
        <w:rPr>
          <w:color w:val="6E6158"/>
        </w:rPr>
        <w:t>Former founder, President and member, Board of Directors, Solano Bicycle Classic Former Director, Solano Workforce Development Board</w:t>
      </w:r>
    </w:p>
    <w:p>
      <w:pPr>
        <w:pStyle w:val="BodyText"/>
        <w:spacing w:line="231" w:lineRule="exact"/>
      </w:pPr>
      <w:r>
        <w:rPr>
          <w:color w:val="6E6158"/>
        </w:rPr>
        <w:t>Former</w:t>
      </w:r>
      <w:r>
        <w:rPr>
          <w:color w:val="6E6158"/>
          <w:spacing w:val="9"/>
        </w:rPr>
        <w:t> </w:t>
      </w:r>
      <w:r>
        <w:rPr>
          <w:color w:val="6E6158"/>
        </w:rPr>
        <w:t>Director,</w:t>
      </w:r>
      <w:r>
        <w:rPr>
          <w:color w:val="6E6158"/>
          <w:spacing w:val="9"/>
        </w:rPr>
        <w:t> </w:t>
      </w:r>
      <w:r>
        <w:rPr>
          <w:color w:val="6E6158"/>
        </w:rPr>
        <w:t>Vacaville</w:t>
      </w:r>
      <w:r>
        <w:rPr>
          <w:color w:val="6E6158"/>
          <w:spacing w:val="9"/>
        </w:rPr>
        <w:t> </w:t>
      </w:r>
      <w:r>
        <w:rPr>
          <w:color w:val="6E6158"/>
        </w:rPr>
        <w:t>Neighborhood</w:t>
      </w:r>
      <w:r>
        <w:rPr>
          <w:color w:val="6E6158"/>
          <w:spacing w:val="10"/>
        </w:rPr>
        <w:t> </w:t>
      </w:r>
      <w:r>
        <w:rPr>
          <w:color w:val="6E6158"/>
        </w:rPr>
        <w:t>Boys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</w:rPr>
        <w:t>Girls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line="302" w:lineRule="auto" w:before="174"/>
        <w:ind w:right="271"/>
      </w:pPr>
      <w:r>
        <w:rPr>
          <w:color w:val="6E6158"/>
        </w:rPr>
        <w:t>Former Chairman, member of Board of Directors and Executive Committee, Vacaville Chamber</w:t>
      </w:r>
      <w:r>
        <w:rPr>
          <w:color w:val="6E6158"/>
          <w:spacing w:val="80"/>
        </w:rPr>
        <w:t> </w:t>
      </w:r>
      <w:r>
        <w:rPr>
          <w:color w:val="6E6158"/>
        </w:rPr>
        <w:t>of Commerce</w:t>
      </w:r>
    </w:p>
    <w:p>
      <w:pPr>
        <w:pStyle w:val="BodyText"/>
        <w:spacing w:line="292" w:lineRule="auto" w:before="113"/>
        <w:ind w:right="271"/>
      </w:pPr>
      <w:r>
        <w:rPr>
          <w:color w:val="6E6158"/>
        </w:rPr>
        <w:t>Past-President and Member of Board of Directors and Executive Committee, Redlands </w:t>
      </w:r>
      <w:r>
        <w:rPr>
          <w:color w:val="6E6158"/>
        </w:rPr>
        <w:t>Chamber</w:t>
      </w:r>
      <w:r>
        <w:rPr>
          <w:color w:val="6E6158"/>
          <w:spacing w:val="80"/>
        </w:rPr>
        <w:t> </w:t>
      </w:r>
      <w:r>
        <w:rPr>
          <w:color w:val="6E6158"/>
        </w:rPr>
        <w:t>of Commerce</w:t>
      </w:r>
    </w:p>
    <w:p>
      <w:pPr>
        <w:pStyle w:val="BodyText"/>
        <w:spacing w:line="427" w:lineRule="auto" w:before="123"/>
        <w:ind w:right="2418"/>
      </w:pPr>
      <w:r>
        <w:rPr>
          <w:color w:val="6E6158"/>
        </w:rPr>
        <w:t>Past-President Member, Board of Directors, United Way of Redlands </w:t>
      </w:r>
      <w:r>
        <w:rPr>
          <w:color w:val="6E6158"/>
        </w:rPr>
        <w:t>Area Past-President, Member of Board of Directors, Redlands Rotary Club</w:t>
      </w:r>
    </w:p>
    <w:p>
      <w:pPr>
        <w:pStyle w:val="BodyText"/>
        <w:spacing w:line="420" w:lineRule="auto"/>
        <w:ind w:right="3274"/>
        <w:jc w:val="both"/>
      </w:pPr>
      <w:r>
        <w:rPr>
          <w:color w:val="6E6158"/>
        </w:rPr>
        <w:t>Past Member, Board of Directors, Redlands Community Hospital Past-President, Board of Directors, Redlands Bicycle Classic, </w:t>
      </w:r>
      <w:r>
        <w:rPr>
          <w:color w:val="6E6158"/>
        </w:rPr>
        <w:t>Inc. Past Chairman, Commissioner, Redlands Planning Commission</w:t>
      </w:r>
    </w:p>
    <w:p>
      <w:pPr>
        <w:pStyle w:val="BodyText"/>
        <w:jc w:val="both"/>
      </w:pPr>
      <w:r>
        <w:rPr>
          <w:color w:val="6E6158"/>
        </w:rPr>
        <w:t>Co-Founder,</w:t>
      </w:r>
      <w:r>
        <w:rPr>
          <w:color w:val="6E6158"/>
          <w:spacing w:val="12"/>
        </w:rPr>
        <w:t> </w: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Chairman,</w:t>
      </w:r>
      <w:r>
        <w:rPr>
          <w:color w:val="6E6158"/>
          <w:spacing w:val="12"/>
        </w:rPr>
        <w:t> </w:t>
      </w:r>
      <w:r>
        <w:rPr>
          <w:color w:val="6E6158"/>
        </w:rPr>
        <w:t>member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Redlands</w:t>
      </w:r>
      <w:r>
        <w:rPr>
          <w:color w:val="6E6158"/>
          <w:spacing w:val="12"/>
        </w:rPr>
        <w:t> </w:t>
      </w:r>
      <w:r>
        <w:rPr>
          <w:color w:val="6E6158"/>
        </w:rPr>
        <w:t>Chili</w:t>
      </w:r>
      <w:r>
        <w:rPr>
          <w:color w:val="6E6158"/>
          <w:spacing w:val="13"/>
        </w:rPr>
        <w:t> </w:t>
      </w:r>
      <w:r>
        <w:rPr>
          <w:color w:val="6E6158"/>
        </w:rPr>
        <w:t>Cookoff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</w:rPr>
        <w:t>Firemen’s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Muster</w:t>
      </w:r>
    </w:p>
    <w:p>
      <w:pPr>
        <w:pStyle w:val="BodyText"/>
        <w:spacing w:after="0"/>
        <w:jc w:val="both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2" w:lineRule="auto" w:before="76"/>
        <w:ind w:right="3652"/>
      </w:pPr>
      <w:r>
        <w:rPr>
          <w:color w:val="6E6158"/>
        </w:rPr>
        <w:t>Past Director, Secretary of Redlands 4</w:t>
      </w:r>
      <w:r>
        <w:rPr>
          <w:color w:val="6E6158"/>
          <w:position w:val="7"/>
          <w:sz w:val="16"/>
        </w:rPr>
        <w:t>th </w:t>
      </w:r>
      <w:r>
        <w:rPr>
          <w:color w:val="6E6158"/>
        </w:rPr>
        <w:t>of July </w:t>
      </w:r>
      <w:r>
        <w:rPr>
          <w:color w:val="6E6158"/>
        </w:rPr>
        <w:t>Committee Former Director, Redlands Economic Development Corp. Past President, Director, United Way of Redlands Area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United</w:t>
      </w:r>
      <w:r>
        <w:rPr>
          <w:color w:val="6E6158"/>
          <w:spacing w:val="7"/>
        </w:rPr>
        <w:t> </w:t>
      </w:r>
      <w:r>
        <w:rPr>
          <w:color w:val="6E6158"/>
        </w:rPr>
        <w:t>States</w:t>
      </w:r>
      <w:r>
        <w:rPr>
          <w:color w:val="6E6158"/>
          <w:spacing w:val="6"/>
        </w:rPr>
        <w:t> </w:t>
      </w:r>
      <w:r>
        <w:rPr>
          <w:color w:val="6E6158"/>
        </w:rPr>
        <w:t>Tax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4"/>
      <w:ind w:left="99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vacaville/" TargetMode="External"/><Relationship Id="rId10" Type="http://schemas.openxmlformats.org/officeDocument/2006/relationships/hyperlink" Target="mailto:sreynold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Reynolds - Fennemore</dc:title>
  <dcterms:created xsi:type="dcterms:W3CDTF">2026-06-12T09:30:08Z</dcterms:created>
  <dcterms:modified xsi:type="dcterms:W3CDTF">2026-06-12T09:30:08Z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