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B. Schmoy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2565" y="763308"/>
                            <a:ext cx="1535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SCHMOYER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8400" y="2500373"/>
                            <a:ext cx="1623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sschmoyer@fennemorelaw.com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B. Schmoy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08;top:-3887;width:241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SCHMOYER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39;top:-1151;width:255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sschmoyer@fennemorelaw.com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SCHMOYER</w:t>
      </w:r>
    </w:p>
    <w:p>
      <w:pPr>
        <w:pStyle w:val="BodyText"/>
        <w:spacing w:line="297" w:lineRule="auto" w:before="146"/>
        <w:ind w:right="413"/>
      </w:pPr>
      <w:r>
        <w:rPr>
          <w:color w:val="6E6158"/>
        </w:rPr>
        <w:t>Shannon B. Schmoyer is a Director in Fennemore’s Employment &amp; Labor practice group, based</w:t>
      </w:r>
      <w:r>
        <w:rPr>
          <w:color w:val="6E6158"/>
          <w:spacing w:val="80"/>
        </w:rPr>
        <w:t> </w:t>
      </w:r>
      <w:r>
        <w:rPr>
          <w:color w:val="6E6158"/>
        </w:rPr>
        <w:t>in San Antonio, Texas. With 34 years of experience, Shannon represents employers in complex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States.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includes</w:t>
      </w:r>
    </w:p>
    <w:p>
      <w:pPr>
        <w:pStyle w:val="BodyText"/>
        <w:spacing w:line="297" w:lineRule="auto"/>
        <w:ind w:right="29"/>
      </w:pPr>
      <w:r>
        <w:rPr>
          <w:color w:val="6E6158"/>
        </w:rPr>
        <w:t>employment litigation, class actions, and labor arbitration, as well as counseling employers on</w:t>
      </w:r>
      <w:r>
        <w:rPr>
          <w:color w:val="6E6158"/>
          <w:spacing w:val="40"/>
        </w:rPr>
        <w:t> </w:t>
      </w:r>
      <w:r>
        <w:rPr>
          <w:color w:val="6E6158"/>
        </w:rPr>
        <w:t>compliance with state and federal employment laws. Shannon regularly advises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strategic</w:t>
      </w:r>
      <w:r>
        <w:rPr>
          <w:color w:val="6E6158"/>
          <w:spacing w:val="27"/>
        </w:rPr>
        <w:t> </w:t>
      </w:r>
      <w:r>
        <w:rPr>
          <w:color w:val="6E6158"/>
        </w:rPr>
        <w:t>workforce</w:t>
      </w:r>
      <w:r>
        <w:rPr>
          <w:color w:val="6E6158"/>
          <w:spacing w:val="27"/>
        </w:rPr>
        <w:t> </w:t>
      </w:r>
      <w:r>
        <w:rPr>
          <w:color w:val="6E6158"/>
        </w:rPr>
        <w:t>decisions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conducts</w:t>
      </w:r>
      <w:r>
        <w:rPr>
          <w:color w:val="6E6158"/>
          <w:spacing w:val="27"/>
        </w:rPr>
        <w:t> </w:t>
      </w:r>
      <w:r>
        <w:rPr>
          <w:color w:val="6E6158"/>
        </w:rPr>
        <w:t>training</w:t>
      </w:r>
      <w:r>
        <w:rPr>
          <w:color w:val="6E6158"/>
          <w:spacing w:val="27"/>
        </w:rPr>
        <w:t> </w:t>
      </w:r>
      <w:r>
        <w:rPr>
          <w:color w:val="6E6158"/>
        </w:rPr>
        <w:t>programs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supervisors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key</w:t>
      </w:r>
    </w:p>
    <w:p>
      <w:pPr>
        <w:pStyle w:val="BodyText"/>
        <w:spacing w:line="292" w:lineRule="auto"/>
        <w:ind w:right="191"/>
        <w:jc w:val="both"/>
      </w:pPr>
      <w:r>
        <w:rPr>
          <w:color w:val="6E6158"/>
        </w:rPr>
        <w:t>employment topics such as discrimination, harassment prevention, wage and hour </w:t>
      </w:r>
      <w:r>
        <w:rPr>
          <w:color w:val="6E6158"/>
        </w:rPr>
        <w:t>compliance, and employee relations. She is board-certified in labor and employment law by the Texas Board</w:t>
      </w:r>
      <w:r>
        <w:rPr>
          <w:color w:val="6E6158"/>
          <w:spacing w:val="80"/>
        </w:rPr>
        <w:t> </w:t>
      </w:r>
      <w:r>
        <w:rPr>
          <w:color w:val="6E6158"/>
        </w:rPr>
        <w:t>of Legal Specialization.</w:t>
      </w:r>
    </w:p>
    <w:p>
      <w:pPr>
        <w:pStyle w:val="BodyText"/>
        <w:spacing w:line="295" w:lineRule="auto" w:before="198"/>
        <w:ind w:right="130"/>
      </w:pPr>
      <w:r>
        <w:rPr>
          <w:color w:val="6E6158"/>
        </w:rPr>
        <w:t>Shannon is best known for her experience as a trial lawyer. She has successfully tried cases across</w:t>
      </w:r>
      <w:r>
        <w:rPr>
          <w:color w:val="6E6158"/>
          <w:spacing w:val="40"/>
        </w:rPr>
        <w:t> </w:t>
      </w:r>
      <w:r>
        <w:rPr>
          <w:color w:val="6E6158"/>
        </w:rPr>
        <w:t>multiple jurisdictions, defending claims brought under the Americans with Disabilities Act (ADA),</w:t>
      </w:r>
      <w:r>
        <w:rPr>
          <w:color w:val="6E6158"/>
          <w:spacing w:val="40"/>
        </w:rPr>
        <w:t> </w:t>
      </w:r>
      <w:r>
        <w:rPr>
          <w:color w:val="6E6158"/>
        </w:rPr>
        <w:t>Age Discrimination in Employment Act (ADEA), Family and Medical Leave Act (FMLA), Fair Labor</w:t>
      </w:r>
      <w:r>
        <w:rPr>
          <w:color w:val="6E6158"/>
          <w:spacing w:val="40"/>
        </w:rPr>
        <w:t> </w:t>
      </w:r>
      <w:r>
        <w:rPr>
          <w:color w:val="6E6158"/>
        </w:rPr>
        <w:t>Standards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(FLSA),</w:t>
      </w:r>
      <w:r>
        <w:rPr>
          <w:color w:val="6E6158"/>
          <w:spacing w:val="23"/>
        </w:rPr>
        <w:t> </w:t>
      </w:r>
      <w:r>
        <w:rPr>
          <w:color w:val="6E6158"/>
        </w:rPr>
        <w:t>Section</w:t>
      </w:r>
      <w:r>
        <w:rPr>
          <w:color w:val="6E6158"/>
          <w:spacing w:val="23"/>
        </w:rPr>
        <w:t> </w:t>
      </w:r>
      <w:r>
        <w:rPr>
          <w:color w:val="6E6158"/>
        </w:rPr>
        <w:t>1981,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Title</w:t>
      </w:r>
      <w:r>
        <w:rPr>
          <w:color w:val="6E6158"/>
          <w:spacing w:val="23"/>
        </w:rPr>
        <w:t> </w:t>
      </w:r>
      <w:r>
        <w:rPr>
          <w:color w:val="6E6158"/>
        </w:rPr>
        <w:t>VII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Civil</w:t>
      </w:r>
      <w:r>
        <w:rPr>
          <w:color w:val="6E6158"/>
          <w:spacing w:val="23"/>
        </w:rPr>
        <w:t> </w:t>
      </w:r>
      <w:r>
        <w:rPr>
          <w:color w:val="6E6158"/>
        </w:rPr>
        <w:t>Rights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1964</w:t>
      </w:r>
      <w:r>
        <w:rPr>
          <w:color w:val="6E6158"/>
          <w:spacing w:val="23"/>
        </w:rPr>
        <w:t> </w:t>
      </w:r>
      <w:r>
        <w:rPr>
          <w:color w:val="6E6158"/>
        </w:rPr>
        <w:t>(Title</w:t>
      </w:r>
      <w:r>
        <w:rPr>
          <w:color w:val="6E6158"/>
          <w:spacing w:val="23"/>
        </w:rPr>
        <w:t> </w:t>
      </w:r>
      <w:r>
        <w:rPr>
          <w:color w:val="6E6158"/>
        </w:rPr>
        <w:t>VII),</w:t>
      </w:r>
      <w:r>
        <w:rPr>
          <w:color w:val="6E6158"/>
          <w:spacing w:val="23"/>
        </w:rPr>
        <w:t> </w:t>
      </w:r>
      <w:r>
        <w:rPr>
          <w:color w:val="6E6158"/>
        </w:rPr>
        <w:t>along 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variety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claims.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defended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unfair labor practice claims under the National Labor Relations Act (NLRA) and in administrative</w:t>
      </w:r>
      <w:r>
        <w:rPr>
          <w:color w:val="6E6158"/>
          <w:spacing w:val="40"/>
        </w:rPr>
        <w:t> </w:t>
      </w:r>
      <w:r>
        <w:rPr>
          <w:color w:val="6E6158"/>
        </w:rPr>
        <w:t>proceedings with both state and federal agencies.</w:t>
      </w:r>
    </w:p>
    <w:p>
      <w:pPr>
        <w:pStyle w:val="BodyText"/>
        <w:spacing w:line="292" w:lineRule="auto" w:before="199"/>
        <w:ind w:right="130"/>
      </w:pPr>
      <w:r>
        <w:rPr>
          <w:color w:val="6E6158"/>
        </w:rPr>
        <w:t>Shannon is also an experienced appellate lawyer, representing employers in various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courts of appeals, including handling appeals in the U.S. Court of Appeals for the 3rd,4th,</w:t>
      </w:r>
      <w:r>
        <w:rPr>
          <w:color w:val="6E6158"/>
          <w:spacing w:val="40"/>
        </w:rPr>
        <w:t> </w:t>
      </w:r>
      <w:r>
        <w:rPr>
          <w:color w:val="6E6158"/>
        </w:rPr>
        <w:t>5th, 8th, 9th, and 11th Circuits, and in various Texas courts of appeals.</w:t>
      </w:r>
    </w:p>
    <w:p>
      <w:pPr>
        <w:pStyle w:val="BodyText"/>
        <w:spacing w:line="295" w:lineRule="auto" w:before="197"/>
        <w:ind w:right="419"/>
      </w:pPr>
      <w:r>
        <w:rPr>
          <w:color w:val="6E6158"/>
        </w:rPr>
        <w:t>Before joining Fennemore, Shannon was a founding partner of Schmoyer Reinhard, a San</w:t>
      </w:r>
      <w:r>
        <w:rPr>
          <w:color w:val="6E6158"/>
          <w:spacing w:val="40"/>
        </w:rPr>
        <w:t> </w:t>
      </w:r>
      <w:r>
        <w:rPr>
          <w:color w:val="6E6158"/>
        </w:rPr>
        <w:t>Antonio-based firm focused on labor and employment, construction, and business litigation.</w:t>
      </w:r>
      <w:r>
        <w:rPr>
          <w:color w:val="6E6158"/>
          <w:spacing w:val="40"/>
        </w:rPr>
        <w:t> </w:t>
      </w:r>
      <w:r>
        <w:rPr>
          <w:color w:val="6E6158"/>
        </w:rPr>
        <w:t>Earlier in her career, she served as a partner at Akin Gump Strauss Hauer &amp; Feld LLP, where she led the firm’s San Antonio labor and employment law section.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Harvard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Oklahoma,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297"/>
      </w:pPr>
      <w:r>
        <w:rPr>
          <w:color w:val="6E6158"/>
        </w:rPr>
        <w:t>Fellow, The College of Labor and Employment Lawyers Chambers USA, Labor and Employment: Texas, 2016 – </w:t>
      </w:r>
      <w:r>
        <w:rPr>
          <w:color w:val="6E6158"/>
        </w:rPr>
        <w:t>2026</w:t>
      </w:r>
    </w:p>
    <w:p>
      <w:pPr>
        <w:pStyle w:val="BodyText"/>
        <w:spacing w:line="292" w:lineRule="auto" w:before="7"/>
      </w:pPr>
      <w:r>
        <w:rPr>
          <w:color w:val="6E6158"/>
        </w:rPr>
        <w:t>Best Lawyers in America®, San Antonio – Employment Law – Lawyer of the Year, 2013, 2016, 2017, 2023, and 2026</w:t>
      </w:r>
    </w:p>
    <w:p>
      <w:pPr>
        <w:pStyle w:val="BodyText"/>
        <w:spacing w:line="408" w:lineRule="auto" w:before="113"/>
        <w:ind w:right="2747"/>
      </w:pP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</w:t>
      </w:r>
      <w:r>
        <w:rPr>
          <w:color w:val="6E6158"/>
        </w:rPr>
        <w:t>2025 2022 Top Woman Lawyer, Texas Diversity Council</w:t>
      </w:r>
    </w:p>
    <w:p>
      <w:pPr>
        <w:pStyle w:val="BodyText"/>
        <w:spacing w:before="19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America®,</w:t>
      </w:r>
      <w:r>
        <w:rPr>
          <w:color w:val="6E6158"/>
          <w:spacing w:val="10"/>
        </w:rPr>
        <w:t> </w:t>
      </w:r>
      <w:r>
        <w:rPr>
          <w:color w:val="6E6158"/>
        </w:rPr>
        <w:t>2012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right="4052"/>
      </w:pPr>
      <w:r>
        <w:rPr>
          <w:color w:val="6E6158"/>
        </w:rPr>
        <w:t>Top 50 Attorney in San Antonio, Attorney Intel, 2023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Star, Benchmark Litigation, </w:t>
      </w:r>
      <w:r>
        <w:rPr>
          <w:color w:val="6E6158"/>
        </w:rPr>
        <w:t>2021</w:t>
      </w:r>
    </w:p>
    <w:p>
      <w:pPr>
        <w:pStyle w:val="BodyText"/>
        <w:spacing w:line="427" w:lineRule="auto"/>
        <w:ind w:right="604"/>
      </w:pPr>
      <w:r>
        <w:rPr>
          <w:color w:val="6E6158"/>
        </w:rPr>
        <w:t>2016</w:t>
      </w:r>
      <w:r>
        <w:rPr>
          <w:color w:val="6E6158"/>
          <w:spacing w:val="35"/>
        </w:rPr>
        <w:t> </w:t>
      </w:r>
      <w:r>
        <w:rPr>
          <w:color w:val="6E6158"/>
        </w:rPr>
        <w:t>Women</w:t>
      </w:r>
      <w:r>
        <w:rPr>
          <w:color w:val="6E6158"/>
          <w:spacing w:val="35"/>
        </w:rPr>
        <w:t> </w:t>
      </w:r>
      <w:r>
        <w:rPr>
          <w:color w:val="6E6158"/>
        </w:rPr>
        <w:t>Leader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American</w:t>
      </w:r>
      <w:r>
        <w:rPr>
          <w:color w:val="6E6158"/>
          <w:spacing w:val="35"/>
        </w:rPr>
        <w:t> </w:t>
      </w:r>
      <w:r>
        <w:rPr>
          <w:color w:val="6E6158"/>
        </w:rPr>
        <w:t>Lawyer</w:t>
      </w:r>
      <w:r>
        <w:rPr>
          <w:color w:val="6E6158"/>
          <w:spacing w:val="35"/>
        </w:rPr>
        <w:t> </w:t>
      </w:r>
      <w:r>
        <w:rPr>
          <w:color w:val="6E6158"/>
        </w:rPr>
        <w:t>Media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Martindale-Hubbell Thomson Reuters Super Lawyer, Top 50 Women Lawyers in Texas, 2008, 2009, 2013, and 2014</w:t>
      </w:r>
    </w:p>
    <w:p>
      <w:pPr>
        <w:pStyle w:val="BodyText"/>
        <w:spacing w:line="292" w:lineRule="auto"/>
      </w:pPr>
      <w:r>
        <w:rPr>
          <w:color w:val="6E6158"/>
        </w:rPr>
        <w:t>Thomson Reuters Super Lawyer, Top 50 Lawyers in the Central and West Texas Region, 2008, 2009, 2013, 2014, and 2015</w:t>
      </w:r>
    </w:p>
    <w:p>
      <w:pPr>
        <w:pStyle w:val="BodyText"/>
        <w:spacing w:line="427" w:lineRule="auto" w:before="114"/>
        <w:ind w:right="4640"/>
      </w:pPr>
      <w:r>
        <w:rPr>
          <w:color w:val="6E6158"/>
        </w:rPr>
        <w:t>Thomson Reuters Texas Super Lawyer, 2003 – </w:t>
      </w:r>
      <w:r>
        <w:rPr>
          <w:color w:val="6E6158"/>
        </w:rPr>
        <w:t>2025 Martindale-Hubbell “AV Preeminent” rating</w:t>
      </w:r>
    </w:p>
    <w:p>
      <w:pPr>
        <w:pStyle w:val="BodyText"/>
        <w:spacing w:line="226" w:lineRule="exact"/>
      </w:pP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2020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27" w:lineRule="auto" w:before="174"/>
        <w:ind w:right="29"/>
      </w:pPr>
      <w:r>
        <w:rPr>
          <w:color w:val="6E6158"/>
        </w:rPr>
        <w:t>Inaugural Outstanding Labor and Employment Lawyer Award, San Antonio Business Journal, </w:t>
      </w:r>
      <w:r>
        <w:rPr>
          <w:color w:val="6E6158"/>
        </w:rPr>
        <w:t>2010</w:t>
      </w:r>
      <w:r>
        <w:rPr>
          <w:color w:val="6E6158"/>
          <w:spacing w:val="40"/>
        </w:rPr>
        <w:t> </w:t>
      </w:r>
      <w:r>
        <w:rPr>
          <w:color w:val="6E6158"/>
        </w:rPr>
        <w:t>San Antonio’s Best Labor And Employment Lawyers, Scene in S.A., 2006 – 2025</w:t>
      </w:r>
    </w:p>
    <w:p>
      <w:pPr>
        <w:pStyle w:val="BodyText"/>
        <w:spacing w:line="226" w:lineRule="exact"/>
      </w:pP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Antonio’s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Scene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S.A.,</w:t>
      </w:r>
      <w:r>
        <w:rPr>
          <w:color w:val="6E6158"/>
          <w:spacing w:val="11"/>
        </w:rPr>
        <w:t> </w:t>
      </w:r>
      <w:r>
        <w:rPr>
          <w:color w:val="6E6158"/>
        </w:rPr>
        <w:t>2021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13"/>
      </w:pPr>
      <w:r>
        <w:rPr>
          <w:color w:val="6E6158"/>
        </w:rPr>
        <w:t>Presenter, “Overview of Discrimination,” State Bar of Texas – TexasBarCLE 34th Annual Course – Employment Law 101, January 7, 2026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“Claim Overview,” State Bar of Texas – TexasBarCLE 32nd Annual Course – Employment Law 101, January 10, 2024</w:t>
      </w:r>
    </w:p>
    <w:p>
      <w:pPr>
        <w:pStyle w:val="BodyText"/>
        <w:spacing w:line="292" w:lineRule="auto" w:before="124"/>
        <w:ind w:right="413"/>
      </w:pPr>
      <w:r>
        <w:rPr>
          <w:color w:val="6E6158"/>
        </w:rPr>
        <w:t>Panelist, “The Most Brilliant Things I Have Seen the Other Side Do in Employment Litigation,” State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Texas</w:t>
      </w:r>
      <w:r>
        <w:rPr>
          <w:color w:val="6E6158"/>
          <w:spacing w:val="28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Employment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32nd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Employment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</w:p>
    <w:p>
      <w:pPr>
        <w:pStyle w:val="BodyText"/>
        <w:spacing w:before="9"/>
      </w:pPr>
      <w:r>
        <w:rPr>
          <w:color w:val="6E6158"/>
        </w:rPr>
        <w:t>Institute,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13"/>
      </w:pPr>
      <w:r>
        <w:rPr>
          <w:color w:val="6E6158"/>
        </w:rPr>
        <w:t>Course Director, State Bar of Texas 30th Annual Advanced Employment Law Course and Employment 101 Course, April 19-21,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30"/>
      </w:pPr>
      <w:r>
        <w:rPr>
          <w:color w:val="6E6158"/>
        </w:rPr>
        <w:t>Presiding Officer, The University of Texas School of Law 28th Annual Labor and Employment Law Conference, May 6, 2021</w:t>
      </w:r>
    </w:p>
    <w:p>
      <w:pPr>
        <w:pStyle w:val="BodyText"/>
        <w:spacing w:line="292" w:lineRule="auto" w:before="132"/>
        <w:ind w:right="413"/>
      </w:pPr>
      <w:r>
        <w:rPr>
          <w:color w:val="6E6158"/>
        </w:rPr>
        <w:t>Presenter, “Administrative Prerequisites and Limitations,” State Bar of Texas – TexasBarCLE 29th Annual Course – Employment Law 101, January 13, 2021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130"/>
      </w:pPr>
      <w:r>
        <w:rPr>
          <w:color w:val="6E6158"/>
        </w:rPr>
        <w:t>Chair Emeritus, Executive Council of the State Bar of Texas Labor and Employment Law Section</w:t>
      </w:r>
      <w:r>
        <w:rPr>
          <w:color w:val="6E6158"/>
          <w:spacing w:val="40"/>
        </w:rPr>
        <w:t> </w:t>
      </w:r>
      <w:r>
        <w:rPr>
          <w:color w:val="6E6158"/>
        </w:rPr>
        <w:t>Fellow, Texas Bar Foundation</w:t>
      </w:r>
    </w:p>
    <w:p>
      <w:pPr>
        <w:pStyle w:val="BodyText"/>
        <w:spacing w:line="420" w:lineRule="auto" w:before="6"/>
        <w:ind w:right="2747"/>
      </w:pPr>
      <w:r>
        <w:rPr>
          <w:color w:val="6E6158"/>
        </w:rPr>
        <w:t>Past Member, The First Tee of Greater San Antonio Board of Directors Past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Directors</w:t>
      </w:r>
      <w:r>
        <w:rPr>
          <w:color w:val="6E6158"/>
        </w:rPr>
        <w:t> Member, San Antonio Bar Association</w:t>
      </w:r>
    </w:p>
    <w:p>
      <w:pPr>
        <w:pStyle w:val="BodyText"/>
        <w:spacing w:line="427" w:lineRule="auto"/>
        <w:ind w:right="4052"/>
      </w:pPr>
      <w:r>
        <w:rPr>
          <w:color w:val="6E6158"/>
        </w:rPr>
        <w:t>Member, Bexar County Women’s Bar Association Member, Harvard University Native American </w:t>
      </w:r>
      <w:r>
        <w:rPr>
          <w:color w:val="6E6158"/>
        </w:rPr>
        <w:t>Program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3rd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4th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11th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sschmo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B. Schmoyer - Fennemore</dc:title>
  <dcterms:created xsi:type="dcterms:W3CDTF">2026-06-12T09:36:01Z</dcterms:created>
  <dcterms:modified xsi:type="dcterms:W3CDTF">2026-06-12T09:36:01Z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