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Huerta Sharo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80248" y="763308"/>
                            <a:ext cx="13601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SHARON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HUERTA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Insurance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Coverage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5812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7686" y="2500373"/>
                            <a:ext cx="14649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shuerta@fennemorelaw.com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Huerta Sharon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46;top:-3887;width:214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SHARON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HUERTA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Insurance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Coverage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172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619.595.3222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364;top:-1151;width:230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shuerta@fennemorelaw.com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SHARON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HUERTA</w:t>
      </w:r>
    </w:p>
    <w:p>
      <w:pPr>
        <w:pStyle w:val="BodyText"/>
        <w:spacing w:line="297" w:lineRule="auto" w:before="146"/>
        <w:ind w:left="99"/>
      </w:pPr>
      <w:r>
        <w:rPr>
          <w:color w:val="6E6158"/>
        </w:rPr>
        <w:t>Sharon A. Huerta, a member of the Insurance and Construction practice groups, excels in</w:t>
      </w:r>
      <w:r>
        <w:rPr>
          <w:color w:val="6E6158"/>
          <w:spacing w:val="40"/>
        </w:rPr>
        <w:t> </w:t>
      </w:r>
      <w:r>
        <w:rPr>
          <w:color w:val="6E6158"/>
        </w:rPr>
        <w:t>comprehensive insurance coverage analysis and effective dispute resolution. Her </w:t>
      </w:r>
      <w:r>
        <w:rPr>
          <w:color w:val="6E6158"/>
        </w:rPr>
        <w:t>practice</w:t>
      </w:r>
      <w:r>
        <w:rPr>
          <w:color w:val="6E6158"/>
          <w:spacing w:val="40"/>
        </w:rPr>
        <w:t> </w:t>
      </w:r>
      <w:r>
        <w:rPr>
          <w:color w:val="6E6158"/>
        </w:rPr>
        <w:t>encompasses</w:t>
      </w:r>
      <w:r>
        <w:rPr>
          <w:color w:val="6E6158"/>
          <w:spacing w:val="31"/>
        </w:rPr>
        <w:t> </w:t>
      </w:r>
      <w:r>
        <w:rPr>
          <w:color w:val="6E6158"/>
        </w:rPr>
        <w:t>all</w:t>
      </w:r>
      <w:r>
        <w:rPr>
          <w:color w:val="6E6158"/>
          <w:spacing w:val="31"/>
        </w:rPr>
        <w:t> </w:t>
      </w:r>
      <w:r>
        <w:rPr>
          <w:color w:val="6E6158"/>
        </w:rPr>
        <w:t>aspects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litigation,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focus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insurance</w:t>
      </w:r>
      <w:r>
        <w:rPr>
          <w:color w:val="6E6158"/>
          <w:spacing w:val="31"/>
        </w:rPr>
        <w:t> </w:t>
      </w:r>
      <w:r>
        <w:rPr>
          <w:color w:val="6E6158"/>
        </w:rPr>
        <w:t>coverage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evaluation,</w:t>
      </w:r>
      <w:r>
        <w:rPr>
          <w:color w:val="6E6158"/>
          <w:spacing w:val="13"/>
        </w:rPr>
        <w:t> </w:t>
      </w:r>
      <w:r>
        <w:rPr>
          <w:color w:val="6E6158"/>
        </w:rPr>
        <w:t>prosecution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bad</w:t>
      </w:r>
      <w:r>
        <w:rPr>
          <w:color w:val="6E6158"/>
          <w:spacing w:val="14"/>
        </w:rPr>
        <w:t> </w:t>
      </w:r>
      <w:r>
        <w:rPr>
          <w:color w:val="6E6158"/>
        </w:rPr>
        <w:t>faith</w:t>
      </w:r>
      <w:r>
        <w:rPr>
          <w:color w:val="6E6158"/>
          <w:spacing w:val="13"/>
        </w:rPr>
        <w:t> </w:t>
      </w:r>
      <w:r>
        <w:rPr>
          <w:color w:val="6E6158"/>
        </w:rPr>
        <w:t>claims,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developer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representation.</w:t>
      </w:r>
    </w:p>
    <w:p>
      <w:pPr>
        <w:pStyle w:val="BodyText"/>
        <w:spacing w:before="14"/>
      </w:pPr>
    </w:p>
    <w:p>
      <w:pPr>
        <w:pStyle w:val="BodyText"/>
        <w:spacing w:line="295" w:lineRule="auto" w:before="1"/>
        <w:ind w:left="99" w:right="403"/>
      </w:pPr>
      <w:r>
        <w:rPr>
          <w:color w:val="6E6158"/>
        </w:rPr>
        <w:t>Sharon’s proficiency extends to appellate writing, where she has been instrumental in drafting</w:t>
      </w:r>
      <w:r>
        <w:rPr>
          <w:color w:val="6E6158"/>
          <w:spacing w:val="40"/>
        </w:rPr>
        <w:t> </w:t>
      </w:r>
      <w:r>
        <w:rPr>
          <w:color w:val="6E6158"/>
        </w:rPr>
        <w:t>briefs for several successful published and unpublished opinions, showcasing her in-depth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knowledge and skilled argument. Notable cases include Pardee Construction Co. v. Ins. Co. of</w:t>
      </w:r>
      <w:r>
        <w:rPr>
          <w:color w:val="6E6158"/>
          <w:spacing w:val="40"/>
        </w:rPr>
        <w:t> </w:t>
      </w:r>
      <w:r>
        <w:rPr>
          <w:color w:val="6E6158"/>
        </w:rPr>
        <w:t>the West (2000), Emerald Bay Community Assn. v. Golden Eagle Ins. Corp. (2005), and Pulte</w:t>
      </w:r>
      <w:r>
        <w:rPr>
          <w:color w:val="6E6158"/>
          <w:spacing w:val="40"/>
        </w:rPr>
        <w:t> </w:t>
      </w:r>
      <w:r>
        <w:rPr>
          <w:color w:val="6E6158"/>
        </w:rPr>
        <w:t>Home Corp. v. American Safety Indem. Co. (2017).</w:t>
      </w:r>
    </w:p>
    <w:p>
      <w:pPr>
        <w:pStyle w:val="BodyText"/>
        <w:spacing w:line="292" w:lineRule="auto" w:before="203"/>
        <w:ind w:left="99" w:right="403"/>
      </w:pPr>
      <w:r>
        <w:rPr>
          <w:color w:val="6E6158"/>
        </w:rPr>
        <w:t>Her skillset in insurance law, coupled with her knowledge in navigating complex legal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makes her a valuable asset to clients across a broad variety of business and personal sectors.</w:t>
      </w:r>
      <w:r>
        <w:rPr>
          <w:color w:val="6E6158"/>
          <w:spacing w:val="80"/>
        </w:rPr>
        <w:t> </w:t>
      </w:r>
      <w:r>
        <w:rPr>
          <w:color w:val="6E6158"/>
        </w:rPr>
        <w:t>Her role in shaping influential legal decisions further underscores her capabilities as a leading</w:t>
      </w:r>
      <w:r>
        <w:rPr>
          <w:color w:val="6E6158"/>
          <w:spacing w:val="40"/>
        </w:rPr>
        <w:t> </w:t>
      </w:r>
      <w:r>
        <w:rPr>
          <w:color w:val="6E6158"/>
        </w:rPr>
        <w:t>attorney in insurance and construction litigation.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rPr>
          <w:b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Thomas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Jefferson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 laude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1996</w:t>
      </w:r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2" w:lineRule="auto"/>
        <w:ind w:left="99" w:right="6958"/>
      </w:pPr>
      <w:r>
        <w:rPr>
          <w:color w:val="6E6158"/>
        </w:rPr>
        <w:t>Insurance </w:t>
      </w:r>
      <w:r>
        <w:rPr>
          <w:color w:val="6E6158"/>
        </w:rPr>
        <w:t>Coverage Construction Law Business Litigation Professional Liability </w:t>
      </w:r>
      <w:r>
        <w:rPr>
          <w:color w:val="6E6158"/>
          <w:spacing w:val="-2"/>
        </w:rPr>
        <w:t>Agribusiness</w:t>
      </w:r>
    </w:p>
    <w:p>
      <w:pPr>
        <w:pStyle w:val="Heading1"/>
        <w:spacing w:before="284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73"/>
        <w:ind w:left="99" w:right="0" w:firstLine="0"/>
        <w:jc w:val="left"/>
        <w:rPr>
          <w:sz w:val="19"/>
        </w:rPr>
      </w:pPr>
      <w:hyperlink r:id="rId11">
        <w:r>
          <w:rPr>
            <w:i/>
            <w:color w:val="F5821F"/>
            <w:sz w:val="20"/>
          </w:rPr>
          <w:t>Pardee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Construction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v.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Ins.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Co.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of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9"/>
            <w:sz w:val="20"/>
          </w:rPr>
          <w:t> </w:t>
        </w:r>
        <w:r>
          <w:rPr>
            <w:i/>
            <w:color w:val="F5821F"/>
            <w:sz w:val="20"/>
          </w:rPr>
          <w:t>West</w:t>
        </w:r>
      </w:hyperlink>
      <w:r>
        <w:rPr>
          <w:i/>
          <w:color w:val="F5821F"/>
          <w:spacing w:val="-10"/>
          <w:sz w:val="20"/>
        </w:rPr>
        <w:t> </w:t>
      </w:r>
      <w:hyperlink r:id="rId11">
        <w:r>
          <w:rPr>
            <w:color w:val="F5821F"/>
            <w:sz w:val="19"/>
          </w:rPr>
          <w:t>(2000)</w:t>
        </w:r>
        <w:r>
          <w:rPr>
            <w:color w:val="F5821F"/>
            <w:spacing w:val="-7"/>
            <w:sz w:val="19"/>
          </w:rPr>
          <w:t> </w:t>
        </w:r>
        <w:r>
          <w:rPr>
            <w:color w:val="F5821F"/>
            <w:sz w:val="19"/>
          </w:rPr>
          <w:t>77</w:t>
        </w:r>
        <w:r>
          <w:rPr>
            <w:color w:val="F5821F"/>
            <w:spacing w:val="-7"/>
            <w:sz w:val="19"/>
          </w:rPr>
          <w:t> </w:t>
        </w:r>
        <w:r>
          <w:rPr>
            <w:color w:val="F5821F"/>
            <w:sz w:val="19"/>
          </w:rPr>
          <w:t>Cal.App.4th</w:t>
        </w:r>
        <w:r>
          <w:rPr>
            <w:color w:val="F5821F"/>
            <w:spacing w:val="-7"/>
            <w:sz w:val="19"/>
          </w:rPr>
          <w:t> </w:t>
        </w:r>
        <w:r>
          <w:rPr>
            <w:color w:val="F5821F"/>
            <w:spacing w:val="-2"/>
            <w:sz w:val="19"/>
          </w:rPr>
          <w:t>1340.</w:t>
        </w:r>
      </w:hyperlink>
    </w:p>
    <w:p>
      <w:pPr>
        <w:spacing w:before="162"/>
        <w:ind w:left="99" w:right="0" w:firstLine="0"/>
        <w:jc w:val="left"/>
        <w:rPr>
          <w:sz w:val="19"/>
        </w:rPr>
      </w:pPr>
      <w:hyperlink r:id="rId12">
        <w:r>
          <w:rPr>
            <w:i/>
            <w:color w:val="F5821F"/>
            <w:sz w:val="20"/>
          </w:rPr>
          <w:t>Emerald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Bay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Community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v.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Golden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Eagle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Ins.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Corp.</w:t>
        </w:r>
      </w:hyperlink>
      <w:r>
        <w:rPr>
          <w:i/>
          <w:color w:val="F5821F"/>
          <w:spacing w:val="-10"/>
          <w:sz w:val="20"/>
        </w:rPr>
        <w:t> </w:t>
      </w:r>
      <w:hyperlink r:id="rId12">
        <w:r>
          <w:rPr>
            <w:color w:val="F5821F"/>
            <w:sz w:val="19"/>
          </w:rPr>
          <w:t>(2005)</w:t>
        </w:r>
        <w:r>
          <w:rPr>
            <w:color w:val="F5821F"/>
            <w:spacing w:val="-8"/>
            <w:sz w:val="19"/>
          </w:rPr>
          <w:t> </w:t>
        </w:r>
        <w:r>
          <w:rPr>
            <w:color w:val="F5821F"/>
            <w:sz w:val="19"/>
          </w:rPr>
          <w:t>130</w:t>
        </w:r>
        <w:r>
          <w:rPr>
            <w:color w:val="F5821F"/>
            <w:spacing w:val="-8"/>
            <w:sz w:val="19"/>
          </w:rPr>
          <w:t> </w:t>
        </w:r>
        <w:r>
          <w:rPr>
            <w:color w:val="F5821F"/>
            <w:sz w:val="19"/>
          </w:rPr>
          <w:t>Cal.App.4th</w:t>
        </w:r>
        <w:r>
          <w:rPr>
            <w:color w:val="F5821F"/>
            <w:spacing w:val="-8"/>
            <w:sz w:val="19"/>
          </w:rPr>
          <w:t> </w:t>
        </w:r>
        <w:r>
          <w:rPr>
            <w:color w:val="F5821F"/>
            <w:spacing w:val="-2"/>
            <w:sz w:val="19"/>
          </w:rPr>
          <w:t>1078.</w:t>
        </w:r>
      </w:hyperlink>
    </w:p>
    <w:p>
      <w:pPr>
        <w:spacing w:before="170"/>
        <w:ind w:left="99" w:right="0" w:firstLine="0"/>
        <w:jc w:val="left"/>
        <w:rPr>
          <w:sz w:val="19"/>
        </w:rPr>
      </w:pPr>
      <w:hyperlink r:id="rId13">
        <w:r>
          <w:rPr>
            <w:i/>
            <w:color w:val="F5821F"/>
            <w:sz w:val="20"/>
          </w:rPr>
          <w:t>Pulte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Home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Corp.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v.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American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Safety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lndem.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Co.</w:t>
        </w:r>
      </w:hyperlink>
      <w:r>
        <w:rPr>
          <w:i/>
          <w:color w:val="F5821F"/>
          <w:spacing w:val="-10"/>
          <w:sz w:val="20"/>
        </w:rPr>
        <w:t> </w:t>
      </w:r>
      <w:hyperlink r:id="rId13">
        <w:r>
          <w:rPr>
            <w:color w:val="F5821F"/>
            <w:sz w:val="19"/>
          </w:rPr>
          <w:t>(2017)</w:t>
        </w:r>
        <w:r>
          <w:rPr>
            <w:color w:val="F5821F"/>
            <w:spacing w:val="-7"/>
            <w:sz w:val="19"/>
          </w:rPr>
          <w:t> </w:t>
        </w:r>
        <w:r>
          <w:rPr>
            <w:color w:val="F5821F"/>
            <w:sz w:val="19"/>
          </w:rPr>
          <w:t>14</w:t>
        </w:r>
        <w:r>
          <w:rPr>
            <w:color w:val="F5821F"/>
            <w:spacing w:val="-8"/>
            <w:sz w:val="19"/>
          </w:rPr>
          <w:t> </w:t>
        </w:r>
        <w:r>
          <w:rPr>
            <w:color w:val="F5821F"/>
            <w:sz w:val="19"/>
          </w:rPr>
          <w:t>Cal.App.5th</w:t>
        </w:r>
        <w:r>
          <w:rPr>
            <w:color w:val="F5821F"/>
            <w:spacing w:val="-7"/>
            <w:sz w:val="19"/>
          </w:rPr>
          <w:t> </w:t>
        </w:r>
        <w:r>
          <w:rPr>
            <w:color w:val="F5821F"/>
            <w:spacing w:val="-2"/>
            <w:sz w:val="19"/>
          </w:rPr>
          <w:t>1086.</w:t>
        </w:r>
      </w:hyperlink>
    </w:p>
    <w:p>
      <w:pPr>
        <w:pStyle w:val="BodyText"/>
        <w:spacing w:before="16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Best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America®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Insurance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302" w:lineRule="auto"/>
        <w:ind w:left="99" w:right="229"/>
      </w:pPr>
      <w:r>
        <w:rPr>
          <w:color w:val="6E6158"/>
        </w:rPr>
        <w:t>Author, “</w:t>
      </w:r>
      <w:hyperlink r:id="rId14">
        <w:r>
          <w:rPr>
            <w:color w:val="F5821F"/>
          </w:rPr>
          <w:t>What Developers Should Not Miss About Completed Operations Coverage</w:t>
        </w:r>
      </w:hyperlink>
      <w:r>
        <w:rPr>
          <w:color w:val="6E6158"/>
        </w:rPr>
        <w:t>,” San </w:t>
      </w:r>
      <w:r>
        <w:rPr>
          <w:color w:val="6E6158"/>
        </w:rPr>
        <w:t>Diego Business Journal, April 3, 2025</w:t>
      </w:r>
    </w:p>
    <w:p>
      <w:pPr>
        <w:pStyle w:val="BodyText"/>
        <w:spacing w:line="292" w:lineRule="auto" w:before="113"/>
        <w:ind w:left="99" w:right="229"/>
      </w:pPr>
      <w:r>
        <w:rPr>
          <w:color w:val="6E6158"/>
        </w:rPr>
        <w:t>Lead Panelist, “Completed Operations: Protecting Your Tail [Coverage],” West Coast Casualty,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23"/>
        <w:ind w:left="99" w:right="202"/>
      </w:pPr>
      <w:r>
        <w:rPr>
          <w:color w:val="6E6158"/>
        </w:rPr>
        <w:t>Kathleen Cashman-Kramer, Sharon Huerta and Shannon Sweeney Selected as “Business </w:t>
      </w:r>
      <w:r>
        <w:rPr>
          <w:color w:val="6E6158"/>
        </w:rPr>
        <w:t>Women</w:t>
      </w:r>
      <w:r>
        <w:rPr>
          <w:color w:val="6E6158"/>
          <w:spacing w:val="40"/>
        </w:rPr>
        <w:t> </w:t>
      </w:r>
      <w:r>
        <w:rPr>
          <w:color w:val="6E6158"/>
        </w:rPr>
        <w:t>of the Year” Finalists by San Diego Business Journal, Firm Newsletter</w:t>
      </w:r>
    </w:p>
    <w:p>
      <w:pPr>
        <w:pStyle w:val="BodyText"/>
        <w:spacing w:line="292" w:lineRule="auto" w:before="113"/>
        <w:ind w:left="99" w:right="403"/>
      </w:pPr>
      <w:r>
        <w:rPr>
          <w:color w:val="6E6158"/>
        </w:rPr>
        <w:t>Yaniv Newman Co-Presents and Sharon Huerta Moderates Upcoming SDCBA Cyber-</w:t>
      </w:r>
      <w:r>
        <w:rPr>
          <w:color w:val="6E6158"/>
        </w:rPr>
        <w:t>Risk Program, Firm Newsletter</w:t>
      </w:r>
    </w:p>
    <w:p>
      <w:pPr>
        <w:pStyle w:val="BodyText"/>
        <w:spacing w:line="302" w:lineRule="auto" w:before="123"/>
        <w:ind w:left="99" w:right="403"/>
      </w:pPr>
      <w:r>
        <w:rPr>
          <w:color w:val="6E6158"/>
        </w:rPr>
        <w:t>Sullivan Hill Attorneys Selected For Best Lawyers in America® and Best Lawyers: Ones To Watch®</w:t>
      </w:r>
      <w:r>
        <w:rPr>
          <w:color w:val="6E6158"/>
          <w:spacing w:val="80"/>
        </w:rPr>
        <w:t> </w:t>
      </w:r>
      <w:r>
        <w:rPr>
          <w:color w:val="6E6158"/>
        </w:rPr>
        <w:t>in America, Firm Newsletter</w:t>
      </w:r>
    </w:p>
    <w:p>
      <w:pPr>
        <w:pStyle w:val="BodyText"/>
        <w:spacing w:line="292" w:lineRule="auto" w:before="113"/>
        <w:ind w:left="99" w:right="403"/>
      </w:pPr>
      <w:r>
        <w:rPr>
          <w:color w:val="6E6158"/>
        </w:rPr>
        <w:t>Sullivan Hill Attorneys Attend 2023 West Coast Casualty Construction Defect Seminar, Firm </w:t>
      </w:r>
      <w:r>
        <w:rPr>
          <w:color w:val="6E6158"/>
          <w:spacing w:val="-2"/>
        </w:rPr>
        <w:t>Newsletter</w:t>
      </w:r>
    </w:p>
    <w:p>
      <w:pPr>
        <w:pStyle w:val="BodyText"/>
        <w:spacing w:line="302" w:lineRule="auto" w:before="123"/>
        <w:ind w:left="99"/>
      </w:pPr>
      <w:r>
        <w:rPr>
          <w:color w:val="6E6158"/>
        </w:rPr>
        <w:t>Sharon Huerta to be Panelist in SDCBA Program, “Insurance Law: 2022 Year in Review”, Firm </w:t>
      </w:r>
      <w:r>
        <w:rPr>
          <w:color w:val="6E6158"/>
          <w:spacing w:val="-2"/>
        </w:rPr>
        <w:t>Newsletter</w:t>
      </w:r>
    </w:p>
    <w:p>
      <w:pPr>
        <w:pStyle w:val="BodyText"/>
        <w:spacing w:line="292" w:lineRule="auto" w:before="113"/>
        <w:ind w:left="99" w:right="403"/>
      </w:pPr>
      <w:r>
        <w:rPr>
          <w:color w:val="6E6158"/>
        </w:rPr>
        <w:t>Sharon Huerta Appointed to Chair of the Insurance Law Committee of the CLA Business Law</w:t>
      </w:r>
      <w:r>
        <w:rPr>
          <w:color w:val="6E6158"/>
          <w:spacing w:val="40"/>
        </w:rPr>
        <w:t> </w:t>
      </w:r>
      <w:r>
        <w:rPr>
          <w:color w:val="6E6158"/>
        </w:rPr>
        <w:t>Section, Firm Newsletter</w:t>
      </w:r>
    </w:p>
    <w:p>
      <w:pPr>
        <w:pStyle w:val="BodyText"/>
        <w:spacing w:before="131"/>
        <w:ind w:left="99"/>
      </w:pPr>
      <w:r>
        <w:rPr>
          <w:color w:val="6E6158"/>
        </w:rPr>
        <w:t>Sharon</w:t>
      </w:r>
      <w:r>
        <w:rPr>
          <w:color w:val="6E6158"/>
          <w:spacing w:val="10"/>
        </w:rPr>
        <w:t> </w:t>
      </w:r>
      <w:r>
        <w:rPr>
          <w:color w:val="6E6158"/>
        </w:rPr>
        <w:t>Huerta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Present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CLA</w:t>
      </w:r>
      <w:r>
        <w:rPr>
          <w:color w:val="6E6158"/>
          <w:spacing w:val="10"/>
        </w:rPr>
        <w:t> </w:t>
      </w:r>
      <w:r>
        <w:rPr>
          <w:color w:val="6E6158"/>
        </w:rPr>
        <w:t>2022</w:t>
      </w:r>
      <w:r>
        <w:rPr>
          <w:color w:val="6E6158"/>
          <w:spacing w:val="11"/>
        </w:rPr>
        <w:t> </w:t>
      </w:r>
      <w:r>
        <w:rPr>
          <w:color w:val="6E6158"/>
        </w:rPr>
        <w:t>Annual</w:t>
      </w:r>
      <w:r>
        <w:rPr>
          <w:color w:val="6E6158"/>
          <w:spacing w:val="11"/>
        </w:rPr>
        <w:t> </w:t>
      </w:r>
      <w:r>
        <w:rPr>
          <w:color w:val="6E6158"/>
        </w:rPr>
        <w:t>Meeting,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Newsletter</w:t>
      </w:r>
    </w:p>
    <w:p>
      <w:pPr>
        <w:pStyle w:val="BodyText"/>
        <w:spacing w:line="292" w:lineRule="auto" w:before="174"/>
        <w:ind w:left="99" w:right="403"/>
      </w:pPr>
      <w:r>
        <w:rPr>
          <w:color w:val="6E6158"/>
        </w:rPr>
        <w:t>Sullivan Hill Attorneys Attend 2022 West Coast Casualty Construction Defect Seminar, Firm </w:t>
      </w:r>
      <w:r>
        <w:rPr>
          <w:color w:val="6E6158"/>
          <w:spacing w:val="-2"/>
        </w:rPr>
        <w:t>Newsletter</w:t>
      </w:r>
    </w:p>
    <w:p>
      <w:pPr>
        <w:pStyle w:val="BodyText"/>
        <w:spacing w:line="302" w:lineRule="auto" w:before="123"/>
        <w:ind w:left="99" w:right="403"/>
      </w:pPr>
      <w:r>
        <w:rPr>
          <w:color w:val="6E6158"/>
        </w:rPr>
        <w:t>Sullivan Hill Attorneys Attend 2022 West Coast Casualty Construction Defect Seminar, Firm </w:t>
      </w:r>
      <w:r>
        <w:rPr>
          <w:color w:val="6E6158"/>
          <w:spacing w:val="-2"/>
        </w:rPr>
        <w:t>Newsletter</w:t>
      </w:r>
    </w:p>
    <w:p>
      <w:pPr>
        <w:pStyle w:val="BodyText"/>
        <w:spacing w:line="292" w:lineRule="auto" w:before="113"/>
        <w:ind w:left="99" w:right="229"/>
      </w:pPr>
      <w:r>
        <w:rPr>
          <w:color w:val="6E6158"/>
        </w:rPr>
        <w:t>Sharon Huerta to be a Panelist for SDCBA’s “Insurance Law- 2021 Year in Review” CLE Program,</w:t>
      </w:r>
      <w:r>
        <w:rPr>
          <w:color w:val="6E6158"/>
          <w:spacing w:val="40"/>
        </w:rPr>
        <w:t> </w:t>
      </w:r>
      <w:r>
        <w:rPr>
          <w:color w:val="6E6158"/>
        </w:rPr>
        <w:t>Firm Newsletter</w:t>
      </w:r>
    </w:p>
    <w:p>
      <w:pPr>
        <w:pStyle w:val="BodyText"/>
        <w:spacing w:line="302" w:lineRule="auto" w:before="123"/>
        <w:ind w:left="99" w:right="229"/>
      </w:pPr>
      <w:r>
        <w:rPr>
          <w:color w:val="6E6158"/>
        </w:rPr>
        <w:t>Sharon Huerta to be a Panelist for SDCBA’s “Insurance Law- 2021 Year in Review” CLE Program,</w:t>
      </w:r>
      <w:r>
        <w:rPr>
          <w:color w:val="6E6158"/>
          <w:spacing w:val="40"/>
        </w:rPr>
        <w:t> </w:t>
      </w:r>
      <w:r>
        <w:rPr>
          <w:color w:val="6E6158"/>
        </w:rPr>
        <w:t>Firm Newsletter</w:t>
      </w:r>
    </w:p>
    <w:p>
      <w:pPr>
        <w:pStyle w:val="BodyText"/>
        <w:spacing w:line="292" w:lineRule="auto" w:before="113"/>
        <w:ind w:left="99" w:right="229"/>
      </w:pPr>
      <w:r>
        <w:rPr>
          <w:color w:val="6E6158"/>
        </w:rPr>
        <w:t>Sullivan Hill Attorneys Selected For Best Lawyers in America© and Best Lawyers: Ones To Watch,</w:t>
      </w:r>
      <w:r>
        <w:rPr>
          <w:color w:val="6E6158"/>
          <w:spacing w:val="40"/>
        </w:rPr>
        <w:t> </w:t>
      </w:r>
      <w:r>
        <w:rPr>
          <w:color w:val="6E6158"/>
        </w:rPr>
        <w:t>Firm Newsletter</w:t>
      </w:r>
    </w:p>
    <w:p>
      <w:pPr>
        <w:pStyle w:val="BodyText"/>
        <w:spacing w:line="302" w:lineRule="auto" w:before="123"/>
        <w:ind w:left="99" w:right="403"/>
      </w:pPr>
      <w:r>
        <w:rPr>
          <w:color w:val="6E6158"/>
        </w:rPr>
        <w:t>Four Sullivan Hill Attorneys Recognized as “Women of Influence: 50 Over 50 2021” by the San</w:t>
      </w:r>
      <w:r>
        <w:rPr>
          <w:color w:val="6E6158"/>
          <w:spacing w:val="40"/>
        </w:rPr>
        <w:t> </w:t>
      </w:r>
      <w:r>
        <w:rPr>
          <w:color w:val="6E6158"/>
        </w:rPr>
        <w:t>Diego Business Journal, Firm Newsletter</w:t>
      </w:r>
    </w:p>
    <w:p>
      <w:pPr>
        <w:pStyle w:val="BodyText"/>
        <w:spacing w:line="292" w:lineRule="auto" w:before="113"/>
        <w:ind w:left="99"/>
      </w:pPr>
      <w:r>
        <w:rPr>
          <w:color w:val="6E6158"/>
        </w:rPr>
        <w:t>Sharon Huerta to Present at CLA’s 2021 Business Law Section Insurance Law Symposium, Firm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Newsletter</w:t>
      </w:r>
    </w:p>
    <w:p>
      <w:pPr>
        <w:pStyle w:val="BodyText"/>
        <w:spacing w:before="123"/>
        <w:ind w:left="99"/>
      </w:pPr>
      <w:r>
        <w:rPr>
          <w:color w:val="6E6158"/>
        </w:rPr>
        <w:t>Sharon</w:t>
      </w:r>
      <w:r>
        <w:rPr>
          <w:color w:val="6E6158"/>
          <w:spacing w:val="10"/>
        </w:rPr>
        <w:t> </w:t>
      </w:r>
      <w:r>
        <w:rPr>
          <w:color w:val="6E6158"/>
        </w:rPr>
        <w:t>Huerta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Introduce</w:t>
      </w:r>
      <w:r>
        <w:rPr>
          <w:color w:val="6E6158"/>
          <w:spacing w:val="10"/>
        </w:rPr>
        <w:t> </w:t>
      </w:r>
      <w:r>
        <w:rPr>
          <w:color w:val="6E6158"/>
        </w:rPr>
        <w:t>SDCBA’s</w:t>
      </w:r>
      <w:r>
        <w:rPr>
          <w:color w:val="6E6158"/>
          <w:spacing w:val="11"/>
        </w:rPr>
        <w:t> </w:t>
      </w:r>
      <w:r>
        <w:rPr>
          <w:color w:val="6E6158"/>
        </w:rPr>
        <w:t>2020</w:t>
      </w:r>
      <w:r>
        <w:rPr>
          <w:color w:val="6E6158"/>
          <w:spacing w:val="10"/>
        </w:rPr>
        <w:t> </w:t>
      </w:r>
      <w:r>
        <w:rPr>
          <w:color w:val="6E6158"/>
        </w:rPr>
        <w:t>Insurance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Update</w:t>
      </w:r>
      <w:r>
        <w:rPr>
          <w:color w:val="6E6158"/>
          <w:spacing w:val="11"/>
        </w:rPr>
        <w:t> </w:t>
      </w:r>
      <w:r>
        <w:rPr>
          <w:color w:val="6E6158"/>
        </w:rPr>
        <w:t>Live</w:t>
      </w:r>
      <w:r>
        <w:rPr>
          <w:color w:val="6E6158"/>
          <w:spacing w:val="10"/>
        </w:rPr>
        <w:t> </w:t>
      </w:r>
      <w:r>
        <w:rPr>
          <w:color w:val="6E6158"/>
        </w:rPr>
        <w:t>Webinar,</w:t>
      </w:r>
      <w:r>
        <w:rPr>
          <w:color w:val="6E6158"/>
          <w:spacing w:val="10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Newsletter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99"/>
      </w:pPr>
      <w:r>
        <w:rPr>
          <w:color w:val="6E6158"/>
        </w:rPr>
        <w:t>Shareholder Sharon Huerta to Be a Panelist for SDCBA’s Live Webinar on Covid-related Business</w:t>
      </w:r>
      <w:r>
        <w:rPr>
          <w:color w:val="6E6158"/>
          <w:spacing w:val="40"/>
        </w:rPr>
        <w:t> </w:t>
      </w:r>
      <w:r>
        <w:rPr>
          <w:color w:val="6E6158"/>
        </w:rPr>
        <w:t>Interruption Insurance Claims, Firm Newsletter</w:t>
      </w:r>
    </w:p>
    <w:p>
      <w:pPr>
        <w:pStyle w:val="BodyText"/>
        <w:spacing w:line="292" w:lineRule="auto" w:before="132"/>
        <w:ind w:left="99" w:right="403"/>
      </w:pPr>
      <w:r>
        <w:rPr>
          <w:color w:val="6E6158"/>
        </w:rPr>
        <w:t>Shareholder Sharon Huerta to Serve Consecutive Terms on the Boards of the Insurance Law</w:t>
      </w:r>
      <w:r>
        <w:rPr>
          <w:color w:val="6E6158"/>
          <w:spacing w:val="40"/>
        </w:rPr>
        <w:t> </w:t>
      </w:r>
      <w:r>
        <w:rPr>
          <w:color w:val="6E6158"/>
        </w:rPr>
        <w:t>Groups for Both SDCBA and CLA, Firm Newsletter</w:t>
      </w:r>
    </w:p>
    <w:p>
      <w:pPr>
        <w:pStyle w:val="BodyText"/>
        <w:spacing w:line="292" w:lineRule="auto" w:before="123"/>
        <w:ind w:left="99"/>
      </w:pPr>
      <w:r>
        <w:rPr>
          <w:color w:val="6E6158"/>
        </w:rPr>
        <w:t>Shareholder Sharon Huerta to be a Panelist at the 2020 Virtual Annual Meeting of the CLA, Firm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Newsletter</w:t>
      </w:r>
    </w:p>
    <w:p>
      <w:pPr>
        <w:pStyle w:val="BodyText"/>
        <w:spacing w:line="292" w:lineRule="auto" w:before="131"/>
        <w:ind w:left="99" w:right="403"/>
      </w:pPr>
      <w:r>
        <w:rPr>
          <w:color w:val="6E6158"/>
        </w:rPr>
        <w:t>Shareholder Sharon Huerta and Attorney Rebecca O’Grady Published by the </w:t>
      </w:r>
      <w:r>
        <w:rPr>
          <w:color w:val="6E6158"/>
        </w:rPr>
        <w:t>Insurance/Bad</w:t>
      </w:r>
      <w:r>
        <w:rPr>
          <w:color w:val="6E6158"/>
          <w:spacing w:val="40"/>
        </w:rPr>
        <w:t> </w:t>
      </w:r>
      <w:r>
        <w:rPr>
          <w:color w:val="6E6158"/>
        </w:rPr>
        <w:t>Faith Section of the SDCBA, Firm Newsletter</w:t>
      </w:r>
    </w:p>
    <w:p>
      <w:pPr>
        <w:pStyle w:val="BodyText"/>
        <w:spacing w:before="11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2" w:lineRule="auto"/>
        <w:ind w:left="99" w:right="969"/>
      </w:pPr>
      <w:r>
        <w:rPr>
          <w:color w:val="6E6158"/>
        </w:rPr>
        <w:t>Chair, Insurance Law Committee, Business Law Section, California Lawyers </w:t>
      </w:r>
      <w:r>
        <w:rPr>
          <w:color w:val="6E6158"/>
        </w:rPr>
        <w:t>Association Vice Chair, Insurance &amp; Bad Faith Law Section, San Diego County Bar Association Member, Claims and Litigation Management Alliance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surance-coverage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shuerta@fennemorelaw.com" TargetMode="External"/><Relationship Id="rId11" Type="http://schemas.openxmlformats.org/officeDocument/2006/relationships/hyperlink" Target="https://www.fennemorelaw.com/wp-content/uploads/2024/12/Pardee-Const-Co-v-Insurance-Co-of-the-West.pdf" TargetMode="External"/><Relationship Id="rId12" Type="http://schemas.openxmlformats.org/officeDocument/2006/relationships/hyperlink" Target="https://www.fennemorelaw.com/wp-content/uploads/2024/12/Emerald-Bay-Community-Assn-v-Golden-Eagle-Ins-Corp.pdf" TargetMode="External"/><Relationship Id="rId13" Type="http://schemas.openxmlformats.org/officeDocument/2006/relationships/hyperlink" Target="https://www.fennemorelaw.com/wp-content/uploads/2024/12/Pulte-Home-Corp-v-American-Safety-Indemnity-Co.pdf" TargetMode="External"/><Relationship Id="rId14" Type="http://schemas.openxmlformats.org/officeDocument/2006/relationships/hyperlink" Target="https://www.sdbj.com/branded-content/what-developers-should-not-miss-about-completed-operations-coverag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Sharon A. Huerta - Fennemore</dc:title>
  <dcterms:created xsi:type="dcterms:W3CDTF">2026-06-12T09:57:12Z</dcterms:created>
  <dcterms:modified xsi:type="dcterms:W3CDTF">2026-06-12T09:57:12Z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