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NEW26 Simon LeBleu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55098" y="1369338"/>
                            <a:ext cx="199517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 h="320675">
                                <a:moveTo>
                                  <a:pt x="199458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94585" y="320382"/>
                                </a:lnTo>
                                <a:lnTo>
                                  <a:pt x="1994585" y="315214"/>
                                </a:lnTo>
                                <a:close/>
                              </a:path>
                              <a:path w="1995170" h="320675">
                                <a:moveTo>
                                  <a:pt x="1994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94585" y="5168"/>
                                </a:lnTo>
                                <a:lnTo>
                                  <a:pt x="1994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55675" y="763308"/>
                            <a:ext cx="2009139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SIMON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LEBLEU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25444" y="1859626"/>
                            <a:ext cx="4692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Vacaville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13000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707.399.4297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20178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707.207.7955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38021" y="2226505"/>
                            <a:ext cx="14446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slebleu@fennemorelaw.com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NEW26 Simon LeBleu bio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34;top:-2501;width:3142;height:505" id="docshape5" coordorigin="6935,-2500" coordsize="3142,505" path="m10076,-2004l6935,-2004,6935,-1996,10076,-1996,10076,-2004xm10076,-2500l6935,-2500,6935,-2492,10076,-2492,10076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35;top:-3455;width:3164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SIMON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LEBLEU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47;top:-1729;width:739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Vacaville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25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707.399.4297</w:t>
                        </w:r>
                      </w:p>
                    </w:txbxContent>
                  </v:textbox>
                  <w10:wrap type="none"/>
                </v:shape>
                <v:shape style="position:absolute;left:876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707.207.7955</w:t>
                        </w:r>
                      </w:p>
                    </w:txbxContent>
                  </v:textbox>
                  <w10:wrap type="none"/>
                </v:shape>
                <v:shape style="position:absolute;left:7380;top:-1151;width:227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slebleu@fennemorelaw.com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SIMON</w:t>
      </w:r>
      <w:r>
        <w:rPr>
          <w:color w:val="FF8100"/>
          <w:spacing w:val="6"/>
        </w:rPr>
        <w:t> </w:t>
      </w:r>
      <w:r>
        <w:rPr>
          <w:color w:val="FF8100"/>
        </w:rPr>
        <w:t>A.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LEBLEU</w:t>
      </w:r>
    </w:p>
    <w:p>
      <w:pPr>
        <w:pStyle w:val="BodyText"/>
        <w:spacing w:line="297" w:lineRule="auto" w:before="147"/>
        <w:ind w:right="374"/>
      </w:pPr>
      <w:r>
        <w:rPr>
          <w:color w:val="6E6158"/>
        </w:rPr>
        <w:t>Simon A. LeBleu is a trusts &amp; estates attorney at Fennemore who specializes in estate planning,</w:t>
      </w:r>
      <w:r>
        <w:rPr>
          <w:color w:val="6E6158"/>
          <w:spacing w:val="40"/>
        </w:rPr>
        <w:t> </w:t>
      </w:r>
      <w:r>
        <w:rPr>
          <w:color w:val="6E6158"/>
        </w:rPr>
        <w:t>trust administration, probate, and tax planning. He offers guidance to a diverse clientele,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families,</w:t>
      </w:r>
      <w:r>
        <w:rPr>
          <w:color w:val="6E6158"/>
          <w:spacing w:val="40"/>
        </w:rPr>
        <w:t> </w:t>
      </w:r>
      <w:r>
        <w:rPr>
          <w:color w:val="6E6158"/>
        </w:rPr>
        <w:t>individuals,</w:t>
      </w:r>
      <w:r>
        <w:rPr>
          <w:color w:val="6E6158"/>
          <w:spacing w:val="40"/>
        </w:rPr>
        <w:t>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fiduciaries,</w:t>
      </w:r>
      <w:r>
        <w:rPr>
          <w:color w:val="6E6158"/>
          <w:spacing w:val="40"/>
        </w:rPr>
        <w:t> </w:t>
      </w:r>
      <w:r>
        <w:rPr>
          <w:color w:val="6E6158"/>
        </w:rPr>
        <w:t>institutions,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other</w:t>
      </w:r>
      <w:r>
        <w:rPr>
          <w:color w:val="6E6158"/>
          <w:spacing w:val="40"/>
        </w:rPr>
        <w:t> </w:t>
      </w:r>
      <w:r>
        <w:rPr>
          <w:color w:val="6E6158"/>
        </w:rPr>
        <w:t>non-profit</w:t>
      </w:r>
      <w:r>
        <w:rPr>
          <w:color w:val="6E6158"/>
          <w:spacing w:val="40"/>
        </w:rPr>
        <w:t> </w:t>
      </w:r>
      <w:r>
        <w:rPr>
          <w:color w:val="6E6158"/>
        </w:rPr>
        <w:t>entities.</w:t>
      </w:r>
    </w:p>
    <w:p>
      <w:pPr>
        <w:pStyle w:val="BodyText"/>
        <w:spacing w:line="297" w:lineRule="auto" w:before="191"/>
        <w:ind w:right="369"/>
      </w:pPr>
      <w:r>
        <w:rPr>
          <w:color w:val="6E6158"/>
        </w:rPr>
        <w:t>A native of Solano County, Simon maintains strong ties to the Northern California community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serves. He earned his associate degree from Solano Community College and graduated with</w:t>
      </w:r>
      <w:r>
        <w:rPr>
          <w:color w:val="6E6158"/>
          <w:spacing w:val="40"/>
        </w:rPr>
        <w:t> </w:t>
      </w:r>
      <w:r>
        <w:rPr>
          <w:color w:val="6E6158"/>
        </w:rPr>
        <w:t>honors from California State University, Sacramento with a bachelor’s degree. He went on to</w:t>
      </w:r>
      <w:r>
        <w:rPr>
          <w:color w:val="6E6158"/>
          <w:spacing w:val="40"/>
        </w:rPr>
        <w:t> </w:t>
      </w:r>
      <w:r>
        <w:rPr>
          <w:color w:val="6E6158"/>
        </w:rPr>
        <w:t>receive his Juris Doctor from the University of the Pacific, McGeorge School of Law, along with</w:t>
      </w:r>
      <w:r>
        <w:rPr>
          <w:color w:val="6E6158"/>
          <w:spacing w:val="40"/>
        </w:rPr>
        <w:t> </w:t>
      </w:r>
      <w:r>
        <w:rPr>
          <w:color w:val="6E6158"/>
        </w:rPr>
        <w:t>certificates in Taxation and Business, and later earned a Master of Laws (LL.M.) in Taxation from</w:t>
      </w:r>
      <w:r>
        <w:rPr>
          <w:color w:val="6E6158"/>
          <w:spacing w:val="40"/>
        </w:rPr>
        <w:t> </w:t>
      </w:r>
      <w:r>
        <w:rPr>
          <w:color w:val="6E6158"/>
        </w:rPr>
        <w:t>the University of San Francisco School of Law.</w:t>
      </w:r>
    </w:p>
    <w:p>
      <w:pPr>
        <w:pStyle w:val="BodyText"/>
        <w:spacing w:line="292" w:lineRule="auto" w:before="188"/>
      </w:pP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addition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practice,</w:t>
      </w:r>
      <w:r>
        <w:rPr>
          <w:color w:val="6E6158"/>
          <w:spacing w:val="25"/>
        </w:rPr>
        <w:t> </w:t>
      </w:r>
      <w:r>
        <w:rPr>
          <w:color w:val="6E6158"/>
        </w:rPr>
        <w:t>Simon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an</w:t>
      </w:r>
      <w:r>
        <w:rPr>
          <w:color w:val="6E6158"/>
          <w:spacing w:val="25"/>
        </w:rPr>
        <w:t> </w:t>
      </w:r>
      <w:r>
        <w:rPr>
          <w:color w:val="6E6158"/>
        </w:rPr>
        <w:t>adjunct</w:t>
      </w:r>
      <w:r>
        <w:rPr>
          <w:color w:val="6E6158"/>
          <w:spacing w:val="25"/>
        </w:rPr>
        <w:t> </w:t>
      </w:r>
      <w:r>
        <w:rPr>
          <w:color w:val="6E6158"/>
        </w:rPr>
        <w:t>professor</w:t>
      </w:r>
      <w:r>
        <w:rPr>
          <w:color w:val="6E6158"/>
          <w:spacing w:val="25"/>
        </w:rPr>
        <w:t> </w:t>
      </w:r>
      <w:r>
        <w:rPr>
          <w:color w:val="6E6158"/>
        </w:rPr>
        <w:t>at</w:t>
      </w:r>
      <w:r>
        <w:rPr>
          <w:color w:val="6E6158"/>
          <w:spacing w:val="25"/>
        </w:rPr>
        <w:t> </w:t>
      </w:r>
      <w:r>
        <w:rPr>
          <w:color w:val="6E6158"/>
        </w:rPr>
        <w:t>McGeorge</w:t>
      </w:r>
      <w:r>
        <w:rPr>
          <w:color w:val="6E6158"/>
          <w:spacing w:val="25"/>
        </w:rPr>
        <w:t> </w:t>
      </w:r>
      <w:r>
        <w:rPr>
          <w:color w:val="6E6158"/>
        </w:rPr>
        <w:t>School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Law, where he teaches estate and gift taxation and income taxation of trusts and estates. He is also a</w:t>
      </w:r>
      <w:r>
        <w:rPr>
          <w:color w:val="6E6158"/>
          <w:spacing w:val="40"/>
        </w:rPr>
        <w:t> </w:t>
      </w:r>
      <w:r>
        <w:rPr>
          <w:color w:val="6E6158"/>
        </w:rPr>
        <w:t>regular</w:t>
      </w:r>
      <w:r>
        <w:rPr>
          <w:color w:val="6E6158"/>
          <w:spacing w:val="32"/>
        </w:rPr>
        <w:t> </w:t>
      </w:r>
      <w:r>
        <w:rPr>
          <w:color w:val="6E6158"/>
        </w:rPr>
        <w:t>contributor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California</w:t>
      </w:r>
      <w:r>
        <w:rPr>
          <w:color w:val="6E6158"/>
          <w:spacing w:val="32"/>
        </w:rPr>
        <w:t> </w:t>
      </w:r>
      <w:r>
        <w:rPr>
          <w:color w:val="6E6158"/>
        </w:rPr>
        <w:t>Continuing</w:t>
      </w:r>
      <w:r>
        <w:rPr>
          <w:color w:val="6E6158"/>
          <w:spacing w:val="32"/>
        </w:rPr>
        <w:t> </w:t>
      </w:r>
      <w:r>
        <w:rPr>
          <w:color w:val="6E6158"/>
        </w:rPr>
        <w:t>Education</w:t>
      </w:r>
      <w:r>
        <w:rPr>
          <w:color w:val="6E6158"/>
          <w:spacing w:val="32"/>
        </w:rPr>
        <w:t> </w:t>
      </w:r>
      <w:r>
        <w:rPr>
          <w:color w:val="6E6158"/>
        </w:rPr>
        <w:t>of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Bar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California</w:t>
      </w:r>
      <w:r>
        <w:rPr>
          <w:color w:val="6E6158"/>
          <w:spacing w:val="32"/>
        </w:rPr>
        <w:t> </w:t>
      </w:r>
      <w:r>
        <w:rPr>
          <w:color w:val="6E6158"/>
        </w:rPr>
        <w:t>Lawyers</w:t>
      </w:r>
    </w:p>
    <w:p>
      <w:pPr>
        <w:pStyle w:val="BodyText"/>
        <w:spacing w:line="292" w:lineRule="auto" w:before="10"/>
        <w:ind w:right="374"/>
      </w:pPr>
      <w:r>
        <w:rPr>
          <w:color w:val="6E6158"/>
        </w:rPr>
        <w:t>Association, providing insight on estate, gift, generation-skipping transfer, and real </w:t>
      </w:r>
      <w:r>
        <w:rPr>
          <w:color w:val="6E6158"/>
        </w:rPr>
        <w:t>estate taxation topics.</w:t>
      </w:r>
    </w:p>
    <w:p>
      <w:pPr>
        <w:pStyle w:val="BodyText"/>
        <w:spacing w:line="292" w:lineRule="auto" w:before="196"/>
        <w:ind w:right="374"/>
      </w:pPr>
      <w:r>
        <w:rPr>
          <w:color w:val="6E6158"/>
        </w:rPr>
        <w:t>Simon lives in Solano County with his wife and two sons and remains actively engaged in the</w:t>
      </w:r>
      <w:r>
        <w:rPr>
          <w:color w:val="6E6158"/>
          <w:spacing w:val="40"/>
        </w:rPr>
        <w:t> </w:t>
      </w:r>
      <w:r>
        <w:rPr>
          <w:color w:val="6E6158"/>
        </w:rPr>
        <w:t>local community.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Certified Specialist in Estate Planning, Trust &amp; Probate Law, State Bar of California Board of Legal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Specialization</w:t>
      </w:r>
    </w:p>
    <w:p>
      <w:pPr>
        <w:pStyle w:val="BodyText"/>
        <w:spacing w:before="124"/>
      </w:pPr>
      <w:r>
        <w:rPr>
          <w:color w:val="6E6158"/>
        </w:rPr>
        <w:t>LL.M.,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Francisco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right="3902"/>
      </w:pPr>
      <w:r>
        <w:rPr>
          <w:color w:val="6E6158"/>
        </w:rPr>
        <w:t>J.D., McGeorge School of Law, University of the </w:t>
      </w:r>
      <w:r>
        <w:rPr>
          <w:color w:val="6E6158"/>
        </w:rPr>
        <w:t>Pacific</w:t>
      </w:r>
      <w:r>
        <w:rPr>
          <w:color w:val="6E6158"/>
        </w:rPr>
        <w:t> B.S., California State University, Sacramento</w:t>
      </w:r>
    </w:p>
    <w:p>
      <w:pPr>
        <w:pStyle w:val="BodyText"/>
        <w:spacing w:line="231" w:lineRule="exact"/>
      </w:pPr>
      <w:r>
        <w:rPr>
          <w:color w:val="6E6158"/>
        </w:rPr>
        <w:t>A.S.,</w:t>
      </w:r>
      <w:r>
        <w:rPr>
          <w:color w:val="6E6158"/>
          <w:spacing w:val="14"/>
        </w:rPr>
        <w:t> </w:t>
      </w:r>
      <w:r>
        <w:rPr>
          <w:color w:val="6E6158"/>
        </w:rPr>
        <w:t>Solano</w:t>
      </w:r>
      <w:r>
        <w:rPr>
          <w:color w:val="6E6158"/>
          <w:spacing w:val="15"/>
        </w:rPr>
        <w:t> </w:t>
      </w:r>
      <w:r>
        <w:rPr>
          <w:color w:val="6E6158"/>
        </w:rPr>
        <w:t>Community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College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Northern</w:t>
      </w:r>
      <w:r>
        <w:rPr>
          <w:color w:val="6E6158"/>
          <w:spacing w:val="10"/>
        </w:rPr>
        <w:t> </w:t>
      </w:r>
      <w:r>
        <w:rPr>
          <w:color w:val="6E6158"/>
        </w:rPr>
        <w:t>California</w:t>
      </w:r>
      <w:r>
        <w:rPr>
          <w:color w:val="6E6158"/>
          <w:spacing w:val="11"/>
        </w:rPr>
        <w:t> </w:t>
      </w:r>
      <w:r>
        <w:rPr>
          <w:color w:val="6E6158"/>
        </w:rPr>
        <w:t>Super</w:t>
      </w:r>
      <w:r>
        <w:rPr>
          <w:color w:val="6E6158"/>
          <w:spacing w:val="11"/>
        </w:rPr>
        <w:t> </w:t>
      </w:r>
      <w:r>
        <w:rPr>
          <w:color w:val="6E6158"/>
        </w:rPr>
        <w:t>Lawyers</w:t>
      </w:r>
      <w:r>
        <w:rPr>
          <w:color w:val="6E6158"/>
          <w:spacing w:val="11"/>
        </w:rPr>
        <w:t> </w:t>
      </w:r>
      <w:r>
        <w:rPr>
          <w:color w:val="6E6158"/>
        </w:rPr>
        <w:t>Rising</w:t>
      </w:r>
      <w:r>
        <w:rPr>
          <w:color w:val="6E6158"/>
          <w:spacing w:val="11"/>
        </w:rPr>
        <w:t> </w:t>
      </w:r>
      <w:r>
        <w:rPr>
          <w:color w:val="6E6158"/>
        </w:rPr>
        <w:t>Star,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0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Probate,</w:t>
      </w:r>
      <w:r>
        <w:rPr>
          <w:color w:val="6E6158"/>
          <w:spacing w:val="11"/>
        </w:rPr>
        <w:t> </w:t>
      </w:r>
      <w:r>
        <w:rPr>
          <w:color w:val="6E6158"/>
        </w:rPr>
        <w:t>Tax,</w:t>
      </w:r>
      <w:r>
        <w:rPr>
          <w:color w:val="6E6158"/>
          <w:spacing w:val="11"/>
        </w:rPr>
        <w:t> </w:t>
      </w:r>
      <w:r>
        <w:rPr>
          <w:color w:val="6E6158"/>
        </w:rPr>
        <w:t>2025-</w:t>
      </w:r>
      <w:r>
        <w:rPr>
          <w:color w:val="6E6158"/>
          <w:spacing w:val="-4"/>
        </w:rPr>
        <w:t>2026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369"/>
      </w:pPr>
      <w:r>
        <w:rPr>
          <w:color w:val="6E6158"/>
        </w:rPr>
        <w:t>Co-Presenter, “From Clifford to Q-Stack: The Post OBBBA Landscape of Planning with Non-Grantor Trusts,” California Lawyers Association Estate and Gift Tax Conference (San </w:t>
      </w:r>
      <w:r>
        <w:rPr>
          <w:color w:val="6E6158"/>
        </w:rPr>
        <w:t>Francisco), </w:t>
      </w:r>
      <w:r>
        <w:rPr>
          <w:color w:val="6E6158"/>
          <w:spacing w:val="-2"/>
        </w:rPr>
        <w:t>2026.</w:t>
      </w:r>
    </w:p>
    <w:p>
      <w:pPr>
        <w:pStyle w:val="BodyText"/>
        <w:spacing w:line="292" w:lineRule="auto" w:before="132"/>
      </w:pPr>
      <w:r>
        <w:rPr>
          <w:color w:val="6E6158"/>
        </w:rPr>
        <w:t>Co-Author, “Valuation Freeze Techniques” (Chapter 25), Continuing Education of the Bar (CEB) Update, January 2026</w:t>
      </w:r>
    </w:p>
    <w:p>
      <w:pPr>
        <w:pStyle w:val="BodyText"/>
        <w:spacing w:line="292" w:lineRule="auto" w:before="123"/>
      </w:pPr>
      <w:r>
        <w:rPr>
          <w:color w:val="6E6158"/>
        </w:rPr>
        <w:t>Co-Author, “Estate and Gift Taxes” (Chapter 10), Continuing Education of the Bar (CEB) Update, January 2026</w:t>
      </w:r>
    </w:p>
    <w:p>
      <w:pPr>
        <w:pStyle w:val="BodyText"/>
        <w:spacing w:line="292" w:lineRule="auto" w:before="131"/>
        <w:ind w:right="369"/>
      </w:pPr>
      <w:r>
        <w:rPr>
          <w:color w:val="6E6158"/>
        </w:rPr>
        <w:t>Co-Presenter, “GST Tax: The Unfriendly Ghost of Estate Planning,” California Lawyers Association Estate and Gift Tax Conference (San Francisco), 2025</w:t>
      </w:r>
    </w:p>
    <w:p>
      <w:pPr>
        <w:pStyle w:val="BodyText"/>
        <w:spacing w:line="292" w:lineRule="auto" w:before="124"/>
        <w:ind w:right="374"/>
      </w:pPr>
      <w:r>
        <w:rPr>
          <w:color w:val="6E6158"/>
        </w:rPr>
        <w:t>Co-Presenter, “Crummey Withdrawal Rights and Notices: Current State and Best </w:t>
      </w:r>
      <w:r>
        <w:rPr>
          <w:color w:val="6E6158"/>
        </w:rPr>
        <w:t>Practices,” American Bar Association Midyear Tax Meeting (Los Angeles), 2025</w:t>
      </w:r>
    </w:p>
    <w:p>
      <w:pPr>
        <w:pStyle w:val="BodyText"/>
        <w:spacing w:line="292" w:lineRule="auto" w:before="131"/>
        <w:ind w:right="374"/>
      </w:pPr>
      <w:r>
        <w:rPr>
          <w:color w:val="6E6158"/>
        </w:rPr>
        <w:t>Co-Author, “Navigating the Complexities of Fine Art and Collectibles for Fiduciaries. Vol. 31, Issue 11,” California Trust and Estate Quarterly, 2025.</w:t>
      </w:r>
    </w:p>
    <w:p>
      <w:pPr>
        <w:pStyle w:val="BodyText"/>
        <w:spacing w:line="292" w:lineRule="auto" w:before="123"/>
      </w:pPr>
      <w:r>
        <w:rPr>
          <w:color w:val="6E6158"/>
        </w:rPr>
        <w:t>Co-Author, “Valuation Freeze Techniques” (Chapter 25), Continuing Education of the Bar (CEB) Update, January 2025</w:t>
      </w:r>
    </w:p>
    <w:p>
      <w:pPr>
        <w:pStyle w:val="BodyText"/>
        <w:spacing w:line="292" w:lineRule="auto" w:before="132"/>
      </w:pPr>
      <w:r>
        <w:rPr>
          <w:color w:val="6E6158"/>
        </w:rPr>
        <w:t>Co-Author, “Estate and Gift Taxes” (Chapter 10), Continuing Education of the Bar (CEB) Update, January 2025</w:t>
      </w:r>
    </w:p>
    <w:p>
      <w:pPr>
        <w:pStyle w:val="BodyText"/>
        <w:spacing w:line="302" w:lineRule="auto" w:before="123"/>
      </w:pPr>
      <w:r>
        <w:rPr>
          <w:color w:val="6E6158"/>
        </w:rPr>
        <w:t>Co-Author, “Valuation Freeze Techniques” (Chapter 25), Continuing Education of the Bar (CEB) Update, January 2024</w:t>
      </w:r>
    </w:p>
    <w:p>
      <w:pPr>
        <w:pStyle w:val="BodyText"/>
        <w:spacing w:before="113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“GST</w:t>
      </w:r>
      <w:r>
        <w:rPr>
          <w:color w:val="6E6158"/>
          <w:spacing w:val="10"/>
        </w:rPr>
        <w:t> </w:t>
      </w:r>
      <w:r>
        <w:rPr>
          <w:color w:val="6E6158"/>
        </w:rPr>
        <w:t>Tax”</w:t>
      </w:r>
      <w:r>
        <w:rPr>
          <w:color w:val="6E6158"/>
          <w:spacing w:val="11"/>
        </w:rPr>
        <w:t> </w:t>
      </w:r>
      <w:r>
        <w:rPr>
          <w:color w:val="6E6158"/>
        </w:rPr>
        <w:t>(Chapter</w:t>
      </w:r>
      <w:r>
        <w:rPr>
          <w:color w:val="6E6158"/>
          <w:spacing w:val="10"/>
        </w:rPr>
        <w:t> </w:t>
      </w:r>
      <w:r>
        <w:rPr>
          <w:color w:val="6E6158"/>
        </w:rPr>
        <w:t>11),</w:t>
      </w:r>
      <w:r>
        <w:rPr>
          <w:color w:val="6E6158"/>
          <w:spacing w:val="11"/>
        </w:rPr>
        <w:t> </w:t>
      </w:r>
      <w:r>
        <w:rPr>
          <w:color w:val="6E6158"/>
        </w:rPr>
        <w:t>Continuing</w:t>
      </w:r>
      <w:r>
        <w:rPr>
          <w:color w:val="6E6158"/>
          <w:spacing w:val="10"/>
        </w:rPr>
        <w:t> </w:t>
      </w:r>
      <w:r>
        <w:rPr>
          <w:color w:val="6E6158"/>
        </w:rPr>
        <w:t>Education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(CEB)</w:t>
      </w:r>
      <w:r>
        <w:rPr>
          <w:color w:val="6E6158"/>
          <w:spacing w:val="11"/>
        </w:rPr>
        <w:t> </w:t>
      </w:r>
      <w:r>
        <w:rPr>
          <w:color w:val="6E6158"/>
        </w:rPr>
        <w:t>Update,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</w:pPr>
      <w:r>
        <w:rPr>
          <w:color w:val="6E6158"/>
        </w:rPr>
        <w:t>Co-Author, “Estate and Gift Taxes” (Chapter 10), Continuing Education of the Bar (CEB) Update, January 2024</w:t>
      </w:r>
    </w:p>
    <w:p>
      <w:pPr>
        <w:pStyle w:val="BodyText"/>
        <w:spacing w:line="292" w:lineRule="auto" w:before="131"/>
      </w:pPr>
      <w:r>
        <w:rPr>
          <w:color w:val="6E6158"/>
        </w:rPr>
        <w:t>Co-Author, “When Should an IRC Section 645 Election be Made? Almost Always! Vol. 29, Issue 3,” California Trust and Estate Quarterly, 2023</w:t>
      </w:r>
    </w:p>
    <w:p>
      <w:pPr>
        <w:pStyle w:val="BodyText"/>
        <w:spacing w:line="292" w:lineRule="auto" w:before="123"/>
      </w:pPr>
      <w:r>
        <w:rPr>
          <w:color w:val="6E6158"/>
        </w:rPr>
        <w:t>Co-Author, “Estate and Gift Taxes” (Chapter 10), Continuing Education of the Bar (CEB) Update, January 2023</w:t>
      </w:r>
    </w:p>
    <w:p>
      <w:pPr>
        <w:pStyle w:val="BodyText"/>
        <w:spacing w:line="292" w:lineRule="auto" w:before="132"/>
        <w:ind w:right="374"/>
      </w:pPr>
      <w:r>
        <w:rPr>
          <w:color w:val="6E6158"/>
        </w:rPr>
        <w:t>Co-Author, “Real Property Ownership &amp; Taxation” (Chapter 7), Continuing Education of the Bar (CEB) Update, January 2023</w:t>
      </w:r>
    </w:p>
    <w:p>
      <w:pPr>
        <w:pStyle w:val="BodyText"/>
        <w:spacing w:before="123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“GST</w:t>
      </w:r>
      <w:r>
        <w:rPr>
          <w:color w:val="6E6158"/>
          <w:spacing w:val="10"/>
        </w:rPr>
        <w:t> </w:t>
      </w:r>
      <w:r>
        <w:rPr>
          <w:color w:val="6E6158"/>
        </w:rPr>
        <w:t>Tax”</w:t>
      </w:r>
      <w:r>
        <w:rPr>
          <w:color w:val="6E6158"/>
          <w:spacing w:val="11"/>
        </w:rPr>
        <w:t> </w:t>
      </w:r>
      <w:r>
        <w:rPr>
          <w:color w:val="6E6158"/>
        </w:rPr>
        <w:t>(Chapter</w:t>
      </w:r>
      <w:r>
        <w:rPr>
          <w:color w:val="6E6158"/>
          <w:spacing w:val="10"/>
        </w:rPr>
        <w:t> </w:t>
      </w:r>
      <w:r>
        <w:rPr>
          <w:color w:val="6E6158"/>
        </w:rPr>
        <w:t>11),</w:t>
      </w:r>
      <w:r>
        <w:rPr>
          <w:color w:val="6E6158"/>
          <w:spacing w:val="11"/>
        </w:rPr>
        <w:t> </w:t>
      </w:r>
      <w:r>
        <w:rPr>
          <w:color w:val="6E6158"/>
        </w:rPr>
        <w:t>Continuing</w:t>
      </w:r>
      <w:r>
        <w:rPr>
          <w:color w:val="6E6158"/>
          <w:spacing w:val="10"/>
        </w:rPr>
        <w:t> </w:t>
      </w:r>
      <w:r>
        <w:rPr>
          <w:color w:val="6E6158"/>
        </w:rPr>
        <w:t>Education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(CEB)</w:t>
      </w:r>
      <w:r>
        <w:rPr>
          <w:color w:val="6E6158"/>
          <w:spacing w:val="11"/>
        </w:rPr>
        <w:t> </w:t>
      </w:r>
      <w:r>
        <w:rPr>
          <w:color w:val="6E6158"/>
        </w:rPr>
        <w:t>Update,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302" w:lineRule="auto" w:before="174"/>
      </w:pPr>
      <w:r>
        <w:rPr>
          <w:color w:val="6E6158"/>
        </w:rPr>
        <w:t>Author, “Overview of California Estate Planning Techniques for the Single Client,” </w:t>
      </w:r>
      <w:r>
        <w:rPr>
          <w:color w:val="6E6158"/>
        </w:rPr>
        <w:t>Continuing Education of the Bar (CEB, Practitioner)August 2022</w:t>
      </w:r>
    </w:p>
    <w:p>
      <w:pPr>
        <w:pStyle w:val="BodyText"/>
        <w:spacing w:line="292" w:lineRule="auto" w:before="113"/>
        <w:ind w:right="369"/>
      </w:pPr>
      <w:r>
        <w:rPr>
          <w:color w:val="6E6158"/>
        </w:rPr>
        <w:t>Author, “Estate Planning Questionnaire for Single Client,” Continuing Education of the Bar </w:t>
      </w:r>
      <w:r>
        <w:rPr>
          <w:color w:val="6E6158"/>
        </w:rPr>
        <w:t>(CEB, Practitioner), August 2022</w:t>
      </w:r>
    </w:p>
    <w:p>
      <w:pPr>
        <w:pStyle w:val="BodyText"/>
        <w:spacing w:line="302" w:lineRule="auto" w:before="123"/>
        <w:ind w:right="374"/>
      </w:pPr>
      <w:r>
        <w:rPr>
          <w:color w:val="6E6158"/>
        </w:rPr>
        <w:t>Co-Author, “Real Property Ownership &amp; Taxation” (Chapter 7), Continuing Education of the Bar (CEB), January 2022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74"/>
      </w:pPr>
      <w:r>
        <w:rPr>
          <w:color w:val="6E6158"/>
        </w:rPr>
        <w:t>Author, Issue Editor: LPS, General, and Limited Conservatorships: Where We Were, Where We Are and Where We Are Going; Vol. 28. Issue 3, California Trusts and Estates Quarterly, 2022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2504"/>
      </w:pPr>
      <w:r>
        <w:rPr>
          <w:color w:val="6E6158"/>
        </w:rPr>
        <w:t>Adjunct Professor, University of the Pacific, McGeorge School of </w:t>
      </w:r>
      <w:r>
        <w:rPr>
          <w:color w:val="6E6158"/>
        </w:rPr>
        <w:t>Law Dixon City Treasurer</w:t>
      </w:r>
    </w:p>
    <w:p>
      <w:pPr>
        <w:pStyle w:val="BodyText"/>
        <w:spacing w:line="420" w:lineRule="auto"/>
        <w:ind w:right="374"/>
      </w:pPr>
      <w:r>
        <w:rPr>
          <w:color w:val="6E6158"/>
        </w:rPr>
        <w:t>Volunteer, California Trust and Estates Section of the Bar, Trust and Estates Subcommittee Member, Taxation Section, State Bar of California</w:t>
      </w:r>
    </w:p>
    <w:p>
      <w:pPr>
        <w:pStyle w:val="BodyText"/>
        <w:spacing w:line="420" w:lineRule="auto" w:before="5"/>
        <w:ind w:right="3902"/>
      </w:pPr>
      <w:r>
        <w:rPr>
          <w:color w:val="6E6158"/>
        </w:rPr>
        <w:t>Member, Trust &amp; Estates Section, State Bar of </w:t>
      </w:r>
      <w:r>
        <w:rPr>
          <w:color w:val="6E6158"/>
        </w:rPr>
        <w:t>California Member, Business Law Section, State Bar of California</w:t>
      </w:r>
    </w:p>
    <w:p>
      <w:pPr>
        <w:pStyle w:val="BodyText"/>
        <w:spacing w:line="420" w:lineRule="auto"/>
        <w:ind w:right="1459"/>
      </w:pPr>
      <w:r>
        <w:rPr>
          <w:color w:val="6E6158"/>
        </w:rPr>
        <w:t>Member, Trust and Estates Law Section, Sacramento County Bar </w:t>
      </w:r>
      <w:r>
        <w:rPr>
          <w:color w:val="6E6158"/>
        </w:rPr>
        <w:t>Association Member, Solano County Bar Association</w:t>
      </w:r>
    </w:p>
    <w:p>
      <w:pPr>
        <w:pStyle w:val="Heading1"/>
        <w:spacing w:before="289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vacaville/" TargetMode="External"/><Relationship Id="rId10" Type="http://schemas.openxmlformats.org/officeDocument/2006/relationships/hyperlink" Target="mailto:slebleu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A. LeBleu - Fennemore</dc:title>
  <dcterms:created xsi:type="dcterms:W3CDTF">2026-06-12T09:29:25Z</dcterms:created>
  <dcterms:modified xsi:type="dcterms:W3CDTF">2026-06-12T09:29:25Z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