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9"/>
        </w:rPr>
      </w:pPr>
    </w:p>
    <w:p>
      <w:pPr>
        <w:pStyle w:val="BodyText"/>
        <w:spacing w:before="300"/>
        <w:rPr>
          <w:rFonts w:ascii="Times New Roman"/>
          <w:sz w:val="39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848486</wp:posOffset>
                </wp:positionH>
                <wp:positionV relativeFrom="paragraph">
                  <wp:posOffset>-763221</wp:posOffset>
                </wp:positionV>
                <wp:extent cx="6071870" cy="40259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025900"/>
                          <a:chExt cx="6071870" cy="4025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tacie Smit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42944" y="1369338"/>
                            <a:ext cx="181927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275" h="320675">
                                <a:moveTo>
                                  <a:pt x="1818894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18894" y="320382"/>
                                </a:lnTo>
                                <a:lnTo>
                                  <a:pt x="1818894" y="315214"/>
                                </a:lnTo>
                                <a:close/>
                              </a:path>
                              <a:path w="1819275" h="320675">
                                <a:moveTo>
                                  <a:pt x="1818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18894" y="5168"/>
                                </a:lnTo>
                                <a:lnTo>
                                  <a:pt x="1818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60.096191pt;width:478.1pt;height:317pt;mso-position-horizontal-relative:page;mso-position-vertical-relative:paragraph;z-index:-15788032" id="docshapegroup1" coordorigin="1336,-1202" coordsize="9562,6340">
                <v:rect style="position:absolute;left:1336;top:3346;width:9562;height:1791" id="docshape2" filled="true" fillcolor="#002e6d" stroked="false">
                  <v:fill type="solid"/>
                </v:rect>
                <v:shape style="position:absolute;left:1336;top:-1202;width:2165;height:424" type="#_x0000_t75" id="docshape3" alt="Fennemore" href="https://www.fennemorelaw.com/" stroked="false">
                  <v:imagedata r:id="rId5" o:title=""/>
                </v:shape>
                <v:shape style="position:absolute;left:1336;top:-779;width:4785;height:4126" type="#_x0000_t75" id="docshape4" alt="Stacie Smith" stroked="false">
                  <v:imagedata r:id="rId7" o:title=""/>
                </v:shape>
                <v:rect style="position:absolute;left:6121;top:-779;width:4777;height:4126" id="docshape5" filled="true" fillcolor="#262424" stroked="false">
                  <v:fill type="solid"/>
                </v:rect>
                <v:shape style="position:absolute;left:7073;top:954;width:2865;height:505" id="docshape6" coordorigin="7073,955" coordsize="2865,505" path="m9938,1451l7073,1451,7073,1459,9938,1459,9938,1451xm9938,955l7073,955,7073,963,9938,963,9938,95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STACIE</w:t>
      </w:r>
      <w:r>
        <w:rPr>
          <w:color w:val="FFFFFF"/>
          <w:spacing w:val="-16"/>
        </w:rPr>
        <w:t> </w:t>
      </w:r>
      <w:r>
        <w:rPr>
          <w:color w:val="FFFFFF"/>
        </w:rPr>
        <w:t>K.</w:t>
      </w:r>
      <w:r>
        <w:rPr>
          <w:color w:val="FFFFFF"/>
          <w:spacing w:val="-16"/>
        </w:rPr>
        <w:t> </w:t>
      </w:r>
      <w:r>
        <w:rPr>
          <w:color w:val="FFFFFF"/>
          <w:spacing w:val="-2"/>
        </w:rPr>
        <w:t>SMITH</w:t>
      </w:r>
    </w:p>
    <w:p>
      <w:pPr>
        <w:spacing w:before="39"/>
        <w:ind w:left="4774" w:right="0" w:firstLine="0"/>
        <w:jc w:val="center"/>
        <w:rPr>
          <w:sz w:val="24"/>
        </w:rPr>
      </w:pPr>
      <w:r>
        <w:rPr>
          <w:color w:val="FFFFFF"/>
          <w:spacing w:val="-2"/>
          <w:sz w:val="24"/>
        </w:rPr>
        <w:t>Director</w:t>
      </w:r>
    </w:p>
    <w:p>
      <w:pPr>
        <w:spacing w:before="291"/>
        <w:ind w:left="4774" w:right="0" w:firstLine="0"/>
        <w:jc w:val="center"/>
        <w:rPr>
          <w:sz w:val="16"/>
        </w:rPr>
      </w:pPr>
      <w:hyperlink r:id="rId8">
        <w:r>
          <w:rPr>
            <w:color w:val="FFFFFF"/>
            <w:sz w:val="16"/>
          </w:rPr>
          <w:t>Intellectual</w:t>
        </w:r>
        <w:r>
          <w:rPr>
            <w:color w:val="FFFFFF"/>
            <w:spacing w:val="8"/>
            <w:sz w:val="16"/>
          </w:rPr>
          <w:t> </w:t>
        </w:r>
        <w:r>
          <w:rPr>
            <w:color w:val="FFFFFF"/>
            <w:spacing w:val="-2"/>
            <w:sz w:val="16"/>
          </w:rPr>
          <w:t>Property</w:t>
        </w:r>
      </w:hyperlink>
    </w:p>
    <w:p>
      <w:pPr>
        <w:pStyle w:val="BodyText"/>
        <w:spacing w:before="8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92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STACIE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7"/>
          <w:sz w:val="24"/>
        </w:rPr>
        <w:t>K</w:t>
      </w:r>
      <w:r>
        <w:rPr>
          <w:color w:val="FFFFFF"/>
          <w:spacing w:val="-725"/>
          <w:w w:val="99"/>
          <w:position w:val="15"/>
          <w:sz w:val="145"/>
        </w:rPr>
        <w:t>“</w:t>
      </w:r>
      <w:r>
        <w:rPr>
          <w:b/>
          <w:color w:val="002E6B"/>
          <w:sz w:val="24"/>
        </w:rPr>
        <w:t>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SMITH</w:t>
      </w:r>
    </w:p>
    <w:p>
      <w:pPr>
        <w:spacing w:before="103"/>
        <w:ind w:left="2229" w:right="0" w:firstLine="0"/>
        <w:jc w:val="center"/>
        <w:rPr>
          <w:sz w:val="16"/>
        </w:rPr>
      </w:pPr>
      <w:r>
        <w:rPr/>
        <w:br w:type="column"/>
      </w:r>
      <w:hyperlink r:id="rId9">
        <w:r>
          <w:rPr>
            <w:color w:val="FFFFFF"/>
            <w:spacing w:val="-2"/>
            <w:sz w:val="16"/>
          </w:rPr>
          <w:t>Phoenix</w:t>
        </w:r>
      </w:hyperlink>
    </w:p>
    <w:p>
      <w:pPr>
        <w:tabs>
          <w:tab w:pos="3833" w:val="left" w:leader="none"/>
        </w:tabs>
        <w:spacing w:before="54"/>
        <w:ind w:left="2229" w:right="0" w:firstLine="0"/>
        <w:jc w:val="center"/>
        <w:rPr>
          <w:sz w:val="17"/>
        </w:rPr>
      </w:pPr>
      <w:r>
        <w:rPr>
          <w:color w:val="FFFFFF"/>
          <w:sz w:val="17"/>
        </w:rPr>
        <w:t>P: </w:t>
      </w:r>
      <w:r>
        <w:rPr>
          <w:color w:val="FFFFFF"/>
          <w:spacing w:val="-2"/>
          <w:sz w:val="17"/>
        </w:rPr>
        <w:t>602.916.5451</w:t>
      </w:r>
      <w:r>
        <w:rPr>
          <w:color w:val="FFFFFF"/>
          <w:sz w:val="17"/>
        </w:rPr>
        <w:tab/>
        <w:t>F: </w:t>
      </w:r>
      <w:r>
        <w:rPr>
          <w:color w:val="FFFFFF"/>
          <w:spacing w:val="-2"/>
          <w:sz w:val="17"/>
        </w:rPr>
        <w:t>602.916.5651</w:t>
      </w:r>
    </w:p>
    <w:p>
      <w:pPr>
        <w:spacing w:before="119"/>
        <w:ind w:left="2229" w:right="0" w:firstLine="0"/>
        <w:jc w:val="center"/>
        <w:rPr>
          <w:sz w:val="16"/>
        </w:rPr>
      </w:pPr>
      <w:hyperlink r:id="rId10">
        <w:r>
          <w:rPr>
            <w:color w:val="FFFFFF"/>
            <w:spacing w:val="-2"/>
            <w:sz w:val="16"/>
          </w:rPr>
          <w:t>ssmith@fennemorelaw.com</w:t>
        </w:r>
      </w:hyperlink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6"/>
        </w:rPr>
      </w:pPr>
    </w:p>
    <w:p>
      <w:pPr>
        <w:tabs>
          <w:tab w:pos="5000" w:val="left" w:leader="none"/>
        </w:tabs>
        <w:spacing w:before="0"/>
        <w:ind w:left="99" w:right="0" w:firstLine="0"/>
        <w:jc w:val="left"/>
        <w:rPr>
          <w:position w:val="-89"/>
          <w:sz w:val="145"/>
        </w:rPr>
      </w:pPr>
      <w:r>
        <w:rPr>
          <w:color w:val="FFFFFF"/>
          <w:spacing w:val="-4"/>
          <w:sz w:val="16"/>
        </w:rPr>
        <w:t>Yes,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you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can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always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be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sued,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at</w:t>
      </w:r>
      <w:r>
        <w:rPr>
          <w:color w:val="FFFFFF"/>
          <w:spacing w:val="-10"/>
          <w:sz w:val="16"/>
        </w:rPr>
        <w:t> </w:t>
      </w:r>
      <w:r>
        <w:rPr>
          <w:color w:val="FFFFFF"/>
          <w:spacing w:val="-4"/>
          <w:sz w:val="16"/>
        </w:rPr>
        <w:t>any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time,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by</w:t>
      </w:r>
      <w:r>
        <w:rPr>
          <w:color w:val="FFFFFF"/>
          <w:spacing w:val="-9"/>
          <w:sz w:val="16"/>
        </w:rPr>
        <w:t> </w:t>
      </w:r>
      <w:r>
        <w:rPr>
          <w:color w:val="FFFFFF"/>
          <w:spacing w:val="-4"/>
          <w:sz w:val="16"/>
        </w:rPr>
        <w:t>anybody.</w:t>
      </w:r>
      <w:r>
        <w:rPr>
          <w:color w:val="FFFFFF"/>
          <w:sz w:val="16"/>
        </w:rPr>
        <w:tab/>
      </w:r>
      <w:r>
        <w:rPr>
          <w:color w:val="FFFFFF"/>
          <w:spacing w:val="-10"/>
          <w:position w:val="-89"/>
          <w:sz w:val="145"/>
        </w:rPr>
        <w:t>”</w:t>
      </w:r>
    </w:p>
    <w:p>
      <w:pPr>
        <w:spacing w:after="0"/>
        <w:jc w:val="left"/>
        <w:rPr>
          <w:position w:val="-89"/>
          <w:sz w:val="145"/>
        </w:rPr>
        <w:sectPr>
          <w:type w:val="continuous"/>
          <w:pgSz w:w="12240" w:h="15840"/>
          <w:pgMar w:top="560" w:bottom="280" w:left="1440" w:right="1440"/>
          <w:cols w:num="2" w:equalWidth="0">
            <w:col w:w="1976" w:space="569"/>
            <w:col w:w="6815"/>
          </w:cols>
        </w:sectPr>
      </w:pPr>
    </w:p>
    <w:p>
      <w:pPr>
        <w:pStyle w:val="BodyText"/>
        <w:spacing w:line="302" w:lineRule="auto" w:before="22"/>
        <w:ind w:left="99" w:right="374"/>
      </w:pPr>
      <w:r>
        <w:rPr>
          <w:color w:val="6E6158"/>
        </w:rPr>
        <w:t>Stacie is an accomplished business transactional attorney with a focus on intellectual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and technology law.</w:t>
      </w:r>
    </w:p>
    <w:p>
      <w:pPr>
        <w:pStyle w:val="BodyText"/>
        <w:spacing w:line="295" w:lineRule="auto" w:before="186"/>
        <w:ind w:left="99" w:right="215"/>
      </w:pPr>
      <w:r>
        <w:rPr>
          <w:color w:val="6E6158"/>
        </w:rPr>
        <w:t>With a forward-looking approach, Stacie advises clients on emerging issues including, domain</w:t>
      </w:r>
      <w:r>
        <w:rPr>
          <w:color w:val="6E6158"/>
          <w:spacing w:val="40"/>
        </w:rPr>
        <w:t> </w:t>
      </w:r>
      <w:r>
        <w:rPr>
          <w:color w:val="6E6158"/>
        </w:rPr>
        <w:t>name</w:t>
      </w:r>
      <w:r>
        <w:rPr>
          <w:color w:val="6E6158"/>
          <w:spacing w:val="13"/>
        </w:rPr>
        <w:t> </w:t>
      </w:r>
      <w:r>
        <w:rPr>
          <w:color w:val="6E6158"/>
        </w:rPr>
        <w:t>disputes,</w:t>
      </w:r>
      <w:r>
        <w:rPr>
          <w:color w:val="6E6158"/>
          <w:spacing w:val="13"/>
        </w:rPr>
        <w:t> </w:t>
      </w:r>
      <w:r>
        <w:rPr>
          <w:color w:val="6E6158"/>
        </w:rPr>
        <w:t>social</w:t>
      </w:r>
      <w:r>
        <w:rPr>
          <w:color w:val="6E6158"/>
          <w:spacing w:val="13"/>
        </w:rPr>
        <w:t> </w:t>
      </w:r>
      <w:r>
        <w:rPr>
          <w:color w:val="6E6158"/>
        </w:rPr>
        <w:t>media,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data</w:t>
      </w:r>
      <w:r>
        <w:rPr>
          <w:color w:val="6E6158"/>
          <w:spacing w:val="13"/>
        </w:rPr>
        <w:t> </w:t>
      </w:r>
      <w:r>
        <w:rPr>
          <w:color w:val="6E6158"/>
        </w:rPr>
        <w:t>privacy</w:t>
      </w:r>
      <w:r>
        <w:rPr>
          <w:color w:val="6E6158"/>
          <w:spacing w:val="13"/>
        </w:rPr>
        <w:t> </w:t>
      </w:r>
      <w:r>
        <w:rPr>
          <w:color w:val="6E6158"/>
        </w:rPr>
        <w:t>matters;</w:t>
      </w:r>
      <w:r>
        <w:rPr>
          <w:color w:val="6E6158"/>
          <w:spacing w:val="13"/>
        </w:rPr>
        <w:t> </w:t>
      </w:r>
      <w:r>
        <w:rPr>
          <w:color w:val="6E6158"/>
        </w:rPr>
        <w:t>she</w:t>
      </w:r>
      <w:r>
        <w:rPr>
          <w:color w:val="6E6158"/>
          <w:spacing w:val="13"/>
        </w:rPr>
        <w:t> </w:t>
      </w:r>
      <w:r>
        <w:rPr>
          <w:color w:val="6E6158"/>
        </w:rPr>
        <w:t>works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ensure</w:t>
      </w:r>
      <w:r>
        <w:rPr>
          <w:color w:val="6E6158"/>
          <w:spacing w:val="13"/>
        </w:rPr>
        <w:t> </w:t>
      </w:r>
      <w:r>
        <w:rPr>
          <w:color w:val="6E6158"/>
        </w:rPr>
        <w:t>her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3"/>
        </w:rPr>
        <w:t> </w:t>
      </w:r>
      <w:r>
        <w:rPr>
          <w:color w:val="6E6158"/>
        </w:rPr>
        <w:t>are</w:t>
      </w:r>
      <w:r>
        <w:rPr>
          <w:color w:val="6E6158"/>
          <w:spacing w:val="13"/>
        </w:rPr>
        <w:t> </w:t>
      </w:r>
      <w:r>
        <w:rPr>
          <w:color w:val="6E6158"/>
        </w:rPr>
        <w:t>well-equipped to navigate the evolving business landscape. Her practice also encompasses</w:t>
      </w:r>
      <w:r>
        <w:rPr>
          <w:color w:val="6E6158"/>
          <w:spacing w:val="40"/>
        </w:rPr>
        <w:t> </w:t>
      </w:r>
      <w:r>
        <w:rPr>
          <w:color w:val="6E6158"/>
        </w:rPr>
        <w:t>managing</w:t>
      </w:r>
      <w:r>
        <w:rPr>
          <w:color w:val="6E6158"/>
          <w:spacing w:val="40"/>
        </w:rPr>
        <w:t> </w:t>
      </w:r>
      <w:r>
        <w:rPr>
          <w:color w:val="6E6158"/>
        </w:rPr>
        <w:t>domestic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trademark</w:t>
      </w:r>
      <w:r>
        <w:rPr>
          <w:color w:val="6E6158"/>
          <w:spacing w:val="40"/>
        </w:rPr>
        <w:t> </w:t>
      </w:r>
      <w:r>
        <w:rPr>
          <w:color w:val="6E6158"/>
        </w:rPr>
        <w:t>portfolios,</w:t>
      </w:r>
      <w:r>
        <w:rPr>
          <w:color w:val="6E6158"/>
          <w:spacing w:val="40"/>
        </w:rPr>
        <w:t> </w:t>
      </w:r>
      <w:r>
        <w:rPr>
          <w:color w:val="6E6158"/>
        </w:rPr>
        <w:t>copyright</w:t>
      </w:r>
      <w:r>
        <w:rPr>
          <w:color w:val="6E6158"/>
          <w:spacing w:val="40"/>
        </w:rPr>
        <w:t> </w:t>
      </w:r>
      <w:r>
        <w:rPr>
          <w:color w:val="6E6158"/>
        </w:rPr>
        <w:t>registration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1"/>
        <w:ind w:left="99"/>
      </w:pPr>
      <w:r>
        <w:rPr>
          <w:color w:val="6E6158"/>
        </w:rPr>
        <w:t>protection,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counseling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intellectual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5"/>
        </w:rPr>
        <w:t> </w:t>
      </w:r>
      <w:r>
        <w:rPr>
          <w:color w:val="6E6158"/>
        </w:rPr>
        <w:t>protection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enforcement.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 w:right="374"/>
      </w:pPr>
      <w:r>
        <w:rPr>
          <w:color w:val="6E6158"/>
        </w:rPr>
        <w:t>Stacie’s journey at Fennemore began as a paralegal, and she has since risen to become a</w:t>
      </w:r>
      <w:r>
        <w:rPr>
          <w:color w:val="6E6158"/>
          <w:spacing w:val="40"/>
        </w:rPr>
        <w:t> </w:t>
      </w:r>
      <w:r>
        <w:rPr>
          <w:color w:val="6E6158"/>
        </w:rPr>
        <w:t>trusted advisor to clients ranging from innovative start-ups to established corporations </w:t>
      </w:r>
      <w:r>
        <w:rPr>
          <w:color w:val="6E6158"/>
        </w:rPr>
        <w:t>across</w:t>
      </w:r>
      <w:r>
        <w:rPr>
          <w:color w:val="6E6158"/>
          <w:spacing w:val="40"/>
        </w:rPr>
        <w:t> </w:t>
      </w:r>
      <w:r>
        <w:rPr>
          <w:color w:val="6E6158"/>
        </w:rPr>
        <w:t>diverse</w:t>
      </w:r>
      <w:r>
        <w:rPr>
          <w:color w:val="6E6158"/>
          <w:spacing w:val="40"/>
        </w:rPr>
        <w:t> </w:t>
      </w:r>
      <w:r>
        <w:rPr>
          <w:color w:val="6E6158"/>
        </w:rPr>
        <w:t>industries,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software,</w:t>
      </w:r>
      <w:r>
        <w:rPr>
          <w:color w:val="6E6158"/>
          <w:spacing w:val="40"/>
        </w:rPr>
        <w:t> </w:t>
      </w:r>
      <w:r>
        <w:rPr>
          <w:color w:val="6E6158"/>
        </w:rPr>
        <w:t>electronics,</w:t>
      </w:r>
      <w:r>
        <w:rPr>
          <w:color w:val="6E6158"/>
          <w:spacing w:val="40"/>
        </w:rPr>
        <w:t> </w:t>
      </w:r>
      <w:r>
        <w:rPr>
          <w:color w:val="6E6158"/>
        </w:rPr>
        <w:t>internet,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estate,</w:t>
      </w:r>
      <w:r>
        <w:rPr>
          <w:color w:val="6E6158"/>
          <w:spacing w:val="40"/>
        </w:rPr>
        <w:t> </w:t>
      </w:r>
      <w:r>
        <w:rPr>
          <w:color w:val="6E6158"/>
        </w:rPr>
        <w:t>personal</w:t>
      </w:r>
      <w:r>
        <w:rPr>
          <w:color w:val="6E6158"/>
          <w:spacing w:val="40"/>
        </w:rPr>
        <w:t> </w:t>
      </w:r>
      <w:r>
        <w:rPr>
          <w:color w:val="6E6158"/>
        </w:rPr>
        <w:t>products,</w:t>
      </w:r>
    </w:p>
    <w:p>
      <w:pPr>
        <w:pStyle w:val="BodyText"/>
        <w:spacing w:line="292" w:lineRule="auto"/>
        <w:ind w:left="99" w:right="374"/>
      </w:pPr>
      <w:r>
        <w:rPr>
          <w:color w:val="6E6158"/>
        </w:rPr>
        <w:t>gaming, and toys. She serves as a core member of the firm’s practice supporting start-up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companies.</w:t>
      </w:r>
    </w:p>
    <w:p>
      <w:pPr>
        <w:pStyle w:val="BodyText"/>
        <w:spacing w:line="292" w:lineRule="auto" w:before="201"/>
        <w:ind w:left="99" w:right="93"/>
      </w:pPr>
      <w:r>
        <w:rPr>
          <w:color w:val="6E6158"/>
        </w:rPr>
        <w:t>As the Phoenix Office Managing Partner and a member of the firm’s seven-person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committee, Stacie plays a pivotal role in the firm’s management. Stacie is an avid reader and</w:t>
      </w:r>
      <w:r>
        <w:rPr>
          <w:color w:val="6E6158"/>
          <w:spacing w:val="40"/>
        </w:rPr>
        <w:t> </w:t>
      </w:r>
      <w:r>
        <w:rPr>
          <w:color w:val="6E6158"/>
        </w:rPr>
        <w:t>enjoys swimming and spending time with her family and friends.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rPr>
          <w:b/>
        </w:rPr>
      </w:pPr>
    </w:p>
    <w:p>
      <w:pPr>
        <w:spacing w:line="384" w:lineRule="auto" w:before="1"/>
        <w:ind w:left="343" w:right="2634" w:hanging="245"/>
        <w:jc w:val="left"/>
        <w:rPr>
          <w:sz w:val="19"/>
        </w:rPr>
      </w:pPr>
      <w:r>
        <w:rPr>
          <w:color w:val="6E6158"/>
          <w:sz w:val="19"/>
        </w:rPr>
        <w:t>J.D., Arizona State University, Sandra Day O’Connor College of </w:t>
      </w:r>
      <w:r>
        <w:rPr>
          <w:color w:val="6E6158"/>
          <w:sz w:val="19"/>
        </w:rPr>
        <w:t>Law</w:t>
      </w:r>
      <w:r>
        <w:rPr>
          <w:color w:val="6E6158"/>
          <w:sz w:val="19"/>
        </w:rPr>
        <w:t> Case Note Editor, </w:t>
      </w:r>
      <w:r>
        <w:rPr>
          <w:i/>
          <w:color w:val="6E6158"/>
          <w:sz w:val="20"/>
        </w:rPr>
        <w:t>Arizona State Law Review, </w:t>
      </w:r>
      <w:r>
        <w:rPr>
          <w:color w:val="6E6158"/>
          <w:sz w:val="19"/>
        </w:rPr>
        <w:t>1991-1992</w:t>
      </w:r>
    </w:p>
    <w:p>
      <w:pPr>
        <w:pStyle w:val="BodyText"/>
        <w:spacing w:before="14"/>
        <w:ind w:left="99"/>
      </w:pPr>
      <w:r>
        <w:rPr>
          <w:color w:val="6E6158"/>
        </w:rPr>
        <w:t>B.A.,</w:t>
      </w:r>
      <w:r>
        <w:rPr>
          <w:color w:val="6E6158"/>
          <w:spacing w:val="7"/>
        </w:rPr>
        <w:t> </w:t>
      </w:r>
      <w:r>
        <w:rPr>
          <w:color w:val="6E6158"/>
        </w:rPr>
        <w:t>Political</w:t>
      </w:r>
      <w:r>
        <w:rPr>
          <w:color w:val="6E6158"/>
          <w:spacing w:val="7"/>
        </w:rPr>
        <w:t> </w:t>
      </w:r>
      <w:r>
        <w:rPr>
          <w:color w:val="6E6158"/>
        </w:rPr>
        <w:t>Science,</w:t>
      </w:r>
      <w:r>
        <w:rPr>
          <w:color w:val="6E6158"/>
          <w:spacing w:val="8"/>
        </w:rPr>
        <w:t> </w:t>
      </w:r>
      <w:r>
        <w:rPr>
          <w:color w:val="6E6158"/>
        </w:rPr>
        <w:t>University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Arizona,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with</w:t>
      </w:r>
      <w:r>
        <w:rPr>
          <w:color w:val="6E6158"/>
          <w:spacing w:val="7"/>
        </w:rPr>
        <w:t> </w:t>
      </w:r>
      <w:r>
        <w:rPr>
          <w:color w:val="6E6158"/>
        </w:rPr>
        <w:t>highest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distinction</w:t>
      </w:r>
    </w:p>
    <w:p>
      <w:pPr>
        <w:pStyle w:val="BodyText"/>
        <w:spacing w:before="16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6717"/>
      </w:pPr>
      <w:r>
        <w:rPr>
          <w:color w:val="6E6158"/>
        </w:rPr>
        <w:t>Intellectual </w:t>
      </w:r>
      <w:r>
        <w:rPr>
          <w:color w:val="6E6158"/>
        </w:rPr>
        <w:t>Property Business &amp; Finance</w:t>
      </w:r>
    </w:p>
    <w:p>
      <w:pPr>
        <w:pStyle w:val="BodyText"/>
        <w:spacing w:line="420" w:lineRule="auto" w:before="7"/>
        <w:ind w:left="99" w:right="5312"/>
      </w:pPr>
      <w:r>
        <w:rPr>
          <w:color w:val="6E6158"/>
        </w:rPr>
        <w:t>Emerging Businesses &amp; </w:t>
      </w:r>
      <w:r>
        <w:rPr>
          <w:color w:val="6E6158"/>
        </w:rPr>
        <w:t>Technologies Privacy &amp; Data Security</w:t>
      </w:r>
    </w:p>
    <w:p>
      <w:pPr>
        <w:pStyle w:val="BodyText"/>
        <w:spacing w:line="420" w:lineRule="auto"/>
        <w:ind w:left="99" w:right="6717"/>
      </w:pPr>
      <w:r>
        <w:rPr>
          <w:color w:val="6E6158"/>
        </w:rPr>
        <w:t>General Counsel </w:t>
      </w:r>
      <w:r>
        <w:rPr>
          <w:color w:val="6E6158"/>
        </w:rPr>
        <w:t>Services Apparel &amp; Fashion</w:t>
      </w:r>
    </w:p>
    <w:p>
      <w:pPr>
        <w:pStyle w:val="Heading1"/>
        <w:spacing w:before="288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Managed</w:t>
      </w:r>
      <w:r>
        <w:rPr>
          <w:color w:val="6E6158"/>
          <w:spacing w:val="15"/>
        </w:rPr>
        <w:t> </w:t>
      </w:r>
      <w:r>
        <w:rPr>
          <w:color w:val="6E6158"/>
        </w:rPr>
        <w:t>domestic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international</w:t>
      </w:r>
      <w:r>
        <w:rPr>
          <w:color w:val="6E6158"/>
          <w:spacing w:val="15"/>
        </w:rPr>
        <w:t> </w:t>
      </w:r>
      <w:r>
        <w:rPr>
          <w:color w:val="6E6158"/>
        </w:rPr>
        <w:t>trademark</w:t>
      </w:r>
      <w:r>
        <w:rPr>
          <w:color w:val="6E6158"/>
          <w:spacing w:val="15"/>
        </w:rPr>
        <w:t> </w:t>
      </w:r>
      <w:r>
        <w:rPr>
          <w:color w:val="6E6158"/>
        </w:rPr>
        <w:t>portfolio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publicly</w:t>
      </w:r>
      <w:r>
        <w:rPr>
          <w:color w:val="6E6158"/>
          <w:spacing w:val="15"/>
        </w:rPr>
        <w:t> </w:t>
      </w:r>
      <w:r>
        <w:rPr>
          <w:color w:val="6E6158"/>
        </w:rPr>
        <w:t>traded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companies</w:t>
      </w:r>
    </w:p>
    <w:p>
      <w:pPr>
        <w:pStyle w:val="BodyText"/>
        <w:spacing w:line="292" w:lineRule="auto" w:before="174"/>
        <w:ind w:left="99" w:right="374"/>
      </w:pPr>
      <w:r>
        <w:rPr>
          <w:color w:val="6E6158"/>
        </w:rPr>
        <w:t>Represented the purchaser in the acquisition of a domain name registrar and Internet service</w:t>
      </w:r>
      <w:r>
        <w:rPr>
          <w:color w:val="6E6158"/>
          <w:spacing w:val="40"/>
        </w:rPr>
        <w:t> </w:t>
      </w:r>
      <w:r>
        <w:rPr>
          <w:color w:val="6E6158"/>
        </w:rPr>
        <w:t>provider, including negotiating and drafting numerous ancillary agreements related to the transfer and licensing of software and services.</w:t>
      </w:r>
    </w:p>
    <w:p>
      <w:pPr>
        <w:pStyle w:val="BodyText"/>
        <w:spacing w:line="292" w:lineRule="auto" w:before="132"/>
        <w:ind w:left="99" w:right="374"/>
      </w:pPr>
      <w:r>
        <w:rPr>
          <w:color w:val="6E6158"/>
        </w:rPr>
        <w:t>Represented the purchaser in the acquisition and licensing of patents, trademarks and</w:t>
      </w:r>
      <w:r>
        <w:rPr>
          <w:color w:val="6E6158"/>
          <w:spacing w:val="40"/>
        </w:rPr>
        <w:t> </w:t>
      </w:r>
      <w:r>
        <w:rPr>
          <w:color w:val="6E6158"/>
        </w:rPr>
        <w:t>copyrights</w:t>
      </w:r>
      <w:r>
        <w:rPr>
          <w:color w:val="6E6158"/>
          <w:spacing w:val="17"/>
        </w:rPr>
        <w:t> </w:t>
      </w:r>
      <w:r>
        <w:rPr>
          <w:color w:val="6E6158"/>
        </w:rPr>
        <w:t>related</w:t>
      </w:r>
      <w:r>
        <w:rPr>
          <w:color w:val="6E6158"/>
          <w:spacing w:val="17"/>
        </w:rPr>
        <w:t> </w:t>
      </w:r>
      <w:r>
        <w:rPr>
          <w:color w:val="6E6158"/>
        </w:rPr>
        <w:t>to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manufacture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distribution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mobility</w:t>
      </w:r>
      <w:r>
        <w:rPr>
          <w:color w:val="6E6158"/>
          <w:spacing w:val="17"/>
        </w:rPr>
        <w:t> </w:t>
      </w:r>
      <w:r>
        <w:rPr>
          <w:color w:val="6E6158"/>
        </w:rPr>
        <w:t>products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services.</w:t>
      </w:r>
    </w:p>
    <w:p>
      <w:pPr>
        <w:pStyle w:val="BodyText"/>
        <w:spacing w:line="302" w:lineRule="auto" w:before="123"/>
        <w:ind w:left="99" w:right="374"/>
      </w:pPr>
      <w:r>
        <w:rPr>
          <w:color w:val="6E6158"/>
        </w:rPr>
        <w:t>Outside intellectual property counsel for a New York based provider of data, analytics and technology</w:t>
      </w:r>
      <w:r>
        <w:rPr>
          <w:color w:val="6E6158"/>
          <w:spacing w:val="37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mortgage-backed</w:t>
      </w:r>
      <w:r>
        <w:rPr>
          <w:color w:val="6E6158"/>
          <w:spacing w:val="37"/>
        </w:rPr>
        <w:t> </w:t>
      </w:r>
      <w:r>
        <w:rPr>
          <w:color w:val="6E6158"/>
        </w:rPr>
        <w:t>securities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real</w:t>
      </w:r>
      <w:r>
        <w:rPr>
          <w:color w:val="6E6158"/>
          <w:spacing w:val="37"/>
        </w:rPr>
        <w:t> </w:t>
      </w:r>
      <w:r>
        <w:rPr>
          <w:color w:val="6E6158"/>
        </w:rPr>
        <w:t>estate</w:t>
      </w:r>
    </w:p>
    <w:p>
      <w:pPr>
        <w:pStyle w:val="BodyText"/>
        <w:spacing w:line="224" w:lineRule="exact"/>
        <w:ind w:left="99"/>
      </w:pPr>
      <w:r>
        <w:rPr>
          <w:color w:val="6E6158"/>
          <w:spacing w:val="-2"/>
        </w:rPr>
        <w:t>industry.</w:t>
      </w:r>
    </w:p>
    <w:p>
      <w:pPr>
        <w:pStyle w:val="BodyText"/>
        <w:spacing w:line="297" w:lineRule="auto" w:before="174"/>
        <w:ind w:left="99" w:right="374"/>
      </w:pPr>
      <w:r>
        <w:rPr>
          <w:color w:val="6E6158"/>
        </w:rPr>
        <w:t>Negotiated and drafted software license agreements, joint development agreements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service provider agreements as outside intellectual property counsel for a national waste</w:t>
      </w:r>
      <w:r>
        <w:rPr>
          <w:color w:val="6E6158"/>
          <w:spacing w:val="40"/>
        </w:rPr>
        <w:t> </w:t>
      </w:r>
      <w:r>
        <w:rPr>
          <w:color w:val="6E6158"/>
        </w:rPr>
        <w:t>disposal company.</w:t>
      </w:r>
    </w:p>
    <w:p>
      <w:pPr>
        <w:pStyle w:val="BodyText"/>
        <w:spacing w:before="107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7"/>
          <w:sz w:val="20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Secrets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302" w:lineRule="auto"/>
        <w:ind w:left="99" w:right="93"/>
      </w:pPr>
      <w:r>
        <w:rPr>
          <w:color w:val="6E6158"/>
        </w:rPr>
        <w:t>Featured “</w:t>
      </w:r>
      <w:hyperlink r:id="rId11">
        <w:r>
          <w:rPr>
            <w:color w:val="F5821F"/>
          </w:rPr>
          <w:t>Operation Homefront presents Cornerstone Awards to Karen A. Monsen and Stacie K.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Smith</w:t>
        </w:r>
      </w:hyperlink>
      <w:r>
        <w:rPr>
          <w:color w:val="6E6158"/>
        </w:rPr>
        <w:t>,” PR Web, November 13, 2024</w:t>
      </w:r>
    </w:p>
    <w:p>
      <w:pPr>
        <w:pStyle w:val="BodyText"/>
        <w:spacing w:before="113"/>
        <w:ind w:left="99"/>
      </w:pPr>
      <w:hyperlink r:id="rId12">
        <w:r>
          <w:rPr>
            <w:color w:val="FF8100"/>
          </w:rPr>
          <w:t>Co-author,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“The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Cost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Photograph,”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0"/>
          </w:rPr>
          <w:t> </w:t>
        </w:r>
        <w:r>
          <w:rPr>
            <w:color w:val="FF8100"/>
          </w:rPr>
          <w:t>January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23,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spacing w:line="278" w:lineRule="auto" w:before="163"/>
        <w:ind w:left="99" w:right="374" w:firstLine="0"/>
        <w:jc w:val="left"/>
        <w:rPr>
          <w:sz w:val="19"/>
        </w:rPr>
      </w:pPr>
      <w:r>
        <w:rPr>
          <w:color w:val="6E6158"/>
          <w:sz w:val="19"/>
        </w:rPr>
        <w:t>Co-author, “Inside the Do’s and Don’ts of How to Name Your Company (Opinion),”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z w:val="20"/>
        </w:rPr>
        <w:t> Nevada Business View, </w:t>
      </w:r>
      <w:r>
        <w:rPr>
          <w:color w:val="6E6158"/>
          <w:sz w:val="19"/>
        </w:rPr>
        <w:t>October 31, 2018</w:t>
      </w:r>
    </w:p>
    <w:p>
      <w:pPr>
        <w:pStyle w:val="BodyText"/>
        <w:spacing w:before="13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7"/>
        </w:rPr>
        <w:t> </w:t>
      </w:r>
      <w:r>
        <w:rPr>
          <w:color w:val="6E6158"/>
        </w:rPr>
        <w:t>North</w:t>
      </w:r>
      <w:r>
        <w:rPr>
          <w:color w:val="6E6158"/>
          <w:spacing w:val="8"/>
        </w:rPr>
        <w:t> </w:t>
      </w:r>
      <w:r>
        <w:rPr>
          <w:color w:val="6E6158"/>
        </w:rPr>
        <w:t>Central</w:t>
      </w:r>
      <w:r>
        <w:rPr>
          <w:color w:val="6E6158"/>
          <w:spacing w:val="8"/>
        </w:rPr>
        <w:t> </w:t>
      </w:r>
      <w:r>
        <w:rPr>
          <w:color w:val="6E6158"/>
        </w:rPr>
        <w:t>Women’s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League</w:t>
      </w:r>
    </w:p>
    <w:p>
      <w:pPr>
        <w:pStyle w:val="BodyText"/>
        <w:spacing w:line="420" w:lineRule="auto" w:before="174"/>
        <w:ind w:left="99" w:right="3067"/>
      </w:pPr>
      <w:r>
        <w:rPr>
          <w:color w:val="6E6158"/>
        </w:rPr>
        <w:t>Member, Intellectual Property Section, State Bar of </w:t>
      </w:r>
      <w:r>
        <w:rPr>
          <w:color w:val="6E6158"/>
        </w:rPr>
        <w:t>Arizona Member, American Intellectual Property Law Association</w:t>
      </w:r>
    </w:p>
    <w:p>
      <w:pPr>
        <w:pStyle w:val="Heading1"/>
        <w:spacing w:before="290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774"/>
      <w:jc w:val="center"/>
    </w:pPr>
    <w:rPr>
      <w:rFonts w:ascii="Century Gothic" w:hAnsi="Century Gothic" w:eastAsia="Century Gothic" w:cs="Century Gothic"/>
      <w:sz w:val="39"/>
      <w:szCs w:val="3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intellectual-property-and-ip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smith@fennemorelaw.com" TargetMode="External"/><Relationship Id="rId11" Type="http://schemas.openxmlformats.org/officeDocument/2006/relationships/hyperlink" Target="https://www.prweb.com/releases/operation-homefront-presents-cornerstone-awards-to-karen-a-monsen-and-stacie-k-smith-302291821.html" TargetMode="External"/><Relationship Id="rId12" Type="http://schemas.openxmlformats.org/officeDocument/2006/relationships/hyperlink" Target="https://www.fennemorelaw.com/insights/newsletters/2020/the-cost-of-a-photograph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Stacie K. Smith - Fennemore</dc:title>
  <dcterms:created xsi:type="dcterms:W3CDTF">2026-06-12T11:14:41Z</dcterms:created>
  <dcterms:modified xsi:type="dcterms:W3CDTF">2026-06-12T11:14:41Z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