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tacy Porche 8628WEB (2)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243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320675">
                                <a:moveTo>
                                  <a:pt x="1824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24062" y="320382"/>
                                </a:lnTo>
                                <a:lnTo>
                                  <a:pt x="1824062" y="315214"/>
                                </a:lnTo>
                                <a:close/>
                              </a:path>
                              <a:path w="1824355" h="320675">
                                <a:moveTo>
                                  <a:pt x="1824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24062" y="5168"/>
                                </a:lnTo>
                                <a:lnTo>
                                  <a:pt x="1824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0371" y="763308"/>
                            <a:ext cx="18395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STACY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PORCHÉ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5308" y="1859626"/>
                            <a:ext cx="180975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sporche@fennemorelaw.com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74056" y="3482163"/>
                            <a:ext cx="31400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vision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excellence,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dream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hell.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Samuel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DuBois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Cook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474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STACY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PORCHÉ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Stacy Porche 8628WEB (2)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73;top:-5016;width:2873;height:505" id="docshape6" coordorigin="7073,-5016" coordsize="2873,505" path="m9946,-4520l7073,-4520,7073,-4511,9946,-4511,9946,-4520xm9946,-5016l7073,-5016,7073,-5008,9946,-5008,994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9;top:-5971;width:289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STACY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PORCHÉ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2;top:-4244;width:285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sporche@fennemorelaw.com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57;top:-1689;width:494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vision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excellence,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dream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hell.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Dr.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Samuel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DuBois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Cook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0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STACY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PORCHÉ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Stacy</w:t>
      </w:r>
      <w:r>
        <w:rPr>
          <w:color w:val="6E6158"/>
          <w:spacing w:val="32"/>
        </w:rPr>
        <w:t> </w:t>
      </w:r>
      <w:r>
        <w:rPr>
          <w:color w:val="6E6158"/>
        </w:rPr>
        <w:t>Porché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associate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Litigation</w:t>
        </w:r>
      </w:hyperlink>
      <w:r>
        <w:rPr>
          <w:color w:val="F5821F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hyperlink r:id="rId11">
        <w:r>
          <w:rPr>
            <w:color w:val="F5821F"/>
          </w:rPr>
          <w:t>Financial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Restructuring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groups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works</w:t>
      </w:r>
      <w:r>
        <w:rPr>
          <w:color w:val="6E6158"/>
          <w:spacing w:val="31"/>
        </w:rPr>
        <w:t> </w:t>
      </w:r>
      <w:r>
        <w:rPr>
          <w:color w:val="6E6158"/>
        </w:rPr>
        <w:t>out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Phoenix</w:t>
      </w:r>
      <w:r>
        <w:rPr>
          <w:color w:val="6E6158"/>
          <w:spacing w:val="31"/>
        </w:rPr>
        <w:t> </w:t>
      </w:r>
      <w:r>
        <w:rPr>
          <w:color w:val="6E6158"/>
        </w:rPr>
        <w:t>office.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experience</w:t>
      </w:r>
      <w:r>
        <w:rPr>
          <w:color w:val="6E6158"/>
          <w:spacing w:val="31"/>
        </w:rPr>
        <w:t> </w:t>
      </w:r>
      <w:r>
        <w:rPr>
          <w:color w:val="6E6158"/>
        </w:rPr>
        <w:t>includes</w:t>
      </w:r>
      <w:r>
        <w:rPr>
          <w:color w:val="6E6158"/>
          <w:spacing w:val="31"/>
        </w:rPr>
        <w:t> </w:t>
      </w:r>
      <w:r>
        <w:rPr>
          <w:color w:val="6E6158"/>
        </w:rPr>
        <w:t>representing secured creditors, unsecured creditors, debtors and other parties in various bankruptcy matters.</w:t>
      </w:r>
      <w:r>
        <w:rPr>
          <w:color w:val="6E6158"/>
          <w:spacing w:val="40"/>
        </w:rPr>
        <w:t> </w:t>
      </w:r>
      <w:r>
        <w:rPr>
          <w:color w:val="6E6158"/>
        </w:rPr>
        <w:t>Stacy has represented plaintiffs and defendants in various litigation matters including foreclosure,</w:t>
      </w:r>
      <w:r>
        <w:rPr>
          <w:color w:val="6E6158"/>
          <w:spacing w:val="40"/>
        </w:rPr>
        <w:t> </w:t>
      </w:r>
      <w:r>
        <w:rPr>
          <w:color w:val="6E6158"/>
        </w:rPr>
        <w:t>landlord/tenant disputes, and breach of contract.</w:t>
      </w:r>
    </w:p>
    <w:p>
      <w:pPr>
        <w:pStyle w:val="BodyText"/>
        <w:spacing w:line="295" w:lineRule="auto" w:before="191"/>
        <w:ind w:left="99" w:right="134"/>
      </w:pPr>
      <w:r>
        <w:rPr>
          <w:color w:val="6E6158"/>
        </w:rPr>
        <w:t>Stacy</w:t>
      </w:r>
      <w:r>
        <w:rPr>
          <w:color w:val="6E6158"/>
          <w:spacing w:val="14"/>
        </w:rPr>
        <w:t> </w:t>
      </w:r>
      <w:r>
        <w:rPr>
          <w:color w:val="6E6158"/>
        </w:rPr>
        <w:t>was</w:t>
      </w:r>
      <w:r>
        <w:rPr>
          <w:color w:val="6E6158"/>
          <w:spacing w:val="14"/>
        </w:rPr>
        <w:t> </w:t>
      </w:r>
      <w:r>
        <w:rPr>
          <w:color w:val="6E6158"/>
        </w:rPr>
        <w:t>born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raised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Phoenix,</w:t>
      </w:r>
      <w:r>
        <w:rPr>
          <w:color w:val="6E6158"/>
          <w:spacing w:val="14"/>
        </w:rPr>
        <w:t> </w:t>
      </w:r>
      <w:r>
        <w:rPr>
          <w:color w:val="6E6158"/>
        </w:rPr>
        <w:t>AZ.</w:t>
      </w:r>
      <w:r>
        <w:rPr>
          <w:color w:val="6E6158"/>
          <w:spacing w:val="14"/>
        </w:rPr>
        <w:t> </w:t>
      </w:r>
      <w:r>
        <w:rPr>
          <w:color w:val="6E6158"/>
        </w:rPr>
        <w:t>Dedicated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whatever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pursues,</w:t>
      </w:r>
      <w:r>
        <w:rPr>
          <w:color w:val="6E6158"/>
          <w:spacing w:val="14"/>
        </w:rPr>
        <w:t> </w:t>
      </w:r>
      <w:r>
        <w:rPr>
          <w:color w:val="6E6158"/>
        </w:rPr>
        <w:t>Stacy</w:t>
      </w:r>
      <w:r>
        <w:rPr>
          <w:color w:val="6E6158"/>
          <w:spacing w:val="14"/>
        </w:rPr>
        <w:t> </w:t>
      </w:r>
      <w:r>
        <w:rPr>
          <w:color w:val="6E6158"/>
        </w:rPr>
        <w:t>worked</w:t>
      </w:r>
      <w:r>
        <w:rPr>
          <w:color w:val="6E6158"/>
          <w:spacing w:val="14"/>
        </w:rPr>
        <w:t> </w:t>
      </w:r>
      <w:r>
        <w:rPr>
          <w:color w:val="6E6158"/>
        </w:rPr>
        <w:t>full-time as a legal research assistant at the Louisiana Attorney General’s Office while attending law</w:t>
      </w:r>
      <w:r>
        <w:rPr>
          <w:color w:val="6E6158"/>
          <w:spacing w:val="40"/>
        </w:rPr>
        <w:t> </w:t>
      </w:r>
      <w:r>
        <w:rPr>
          <w:color w:val="6E6158"/>
        </w:rPr>
        <w:t>school at night. Stacy attended law school at Southern University Law Center, where she graduated fifth in her class. After graduating, Stacy worked as a Law Clerk for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Bankruptcy Court for the Northern District of Mississippi, further refining her litigation and legal</w:t>
      </w:r>
      <w:r>
        <w:rPr>
          <w:color w:val="6E6158"/>
          <w:spacing w:val="40"/>
        </w:rPr>
        <w:t> </w:t>
      </w:r>
      <w:r>
        <w:rPr>
          <w:color w:val="6E6158"/>
        </w:rPr>
        <w:t>research skills. Stacy is licensed to practice law in Arizona and Washington DC. Additionally, she</w:t>
      </w:r>
      <w:r>
        <w:rPr>
          <w:color w:val="6E6158"/>
          <w:spacing w:val="80"/>
        </w:rPr>
        <w:t> </w:t>
      </w:r>
      <w:r>
        <w:rPr>
          <w:color w:val="6E6158"/>
        </w:rPr>
        <w:t>has not only litigated in various courts within the state of Arizona but also in several federal</w:t>
      </w:r>
      <w:r>
        <w:rPr>
          <w:color w:val="6E6158"/>
          <w:spacing w:val="40"/>
        </w:rPr>
        <w:t> </w:t>
      </w:r>
      <w:r>
        <w:rPr>
          <w:color w:val="6E6158"/>
        </w:rPr>
        <w:t>bankruptcy courts nationwide.</w:t>
      </w:r>
    </w:p>
    <w:p>
      <w:pPr>
        <w:pStyle w:val="BodyText"/>
        <w:spacing w:line="292" w:lineRule="auto" w:before="198"/>
        <w:ind w:left="99" w:right="350"/>
      </w:pPr>
      <w:r>
        <w:rPr>
          <w:color w:val="6E6158"/>
        </w:rPr>
        <w:t>Outside of work, Stacy is actively involved</w:t>
      </w:r>
      <w:r>
        <w:rPr>
          <w:color w:val="6E6158"/>
          <w:spacing w:val="80"/>
        </w:rPr>
        <w:t> </w:t>
      </w:r>
      <w:r>
        <w:rPr>
          <w:color w:val="6E6158"/>
        </w:rPr>
        <w:t>in the community, volunteering</w:t>
      </w:r>
      <w:r>
        <w:rPr>
          <w:color w:val="6E6158"/>
          <w:spacing w:val="80"/>
        </w:rPr>
        <w:t> </w:t>
      </w:r>
      <w:r>
        <w:rPr>
          <w:color w:val="6E6158"/>
        </w:rPr>
        <w:t>monthly with the Arizona Black Bar Pro bono clinic. When she is not busy servicing client she is spending quality</w:t>
      </w:r>
      <w:r>
        <w:rPr>
          <w:color w:val="6E6158"/>
          <w:spacing w:val="40"/>
        </w:rPr>
        <w:t> </w:t>
      </w:r>
      <w:r>
        <w:rPr>
          <w:color w:val="6E6158"/>
        </w:rPr>
        <w:t>time with her family and traveling.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3476"/>
      </w:pPr>
      <w:r>
        <w:rPr>
          <w:color w:val="6E6158"/>
        </w:rPr>
        <w:t>LL.M, Dispute Resolution, Pepperdine Caruso School of </w:t>
      </w:r>
      <w:r>
        <w:rPr>
          <w:color w:val="6E6158"/>
        </w:rPr>
        <w:t>Law J.D., Southern University Law Center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6856"/>
      </w:pPr>
      <w:r>
        <w:rPr>
          <w:color w:val="6E6158"/>
        </w:rPr>
        <w:t>Business Litigation Financial </w:t>
      </w:r>
      <w:r>
        <w:rPr>
          <w:color w:val="6E6158"/>
        </w:rPr>
        <w:t>Restructuring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Watch, Litigation – Bankruptcy, 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Bankruptcy: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72"/>
        <w:ind w:left="99"/>
      </w:pPr>
      <w:r>
        <w:rPr>
          <w:color w:val="6E6158"/>
        </w:rPr>
        <w:t>Recipient,</w:t>
      </w:r>
      <w:r>
        <w:rPr>
          <w:color w:val="6E6158"/>
          <w:spacing w:val="10"/>
        </w:rPr>
        <w:t> </w: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40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1"/>
        </w:rPr>
        <w:t> </w:t>
      </w:r>
      <w:r>
        <w:rPr>
          <w:color w:val="6E6158"/>
        </w:rPr>
        <w:t>40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Black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left="99"/>
      </w:pPr>
      <w:r>
        <w:rPr>
          <w:color w:val="6E6158"/>
        </w:rPr>
        <w:t>Recipient, CALI Awards – Cali Excellence for the Future Awards:</w:t>
      </w:r>
      <w:r>
        <w:rPr>
          <w:color w:val="6E6158"/>
          <w:spacing w:val="40"/>
        </w:rPr>
        <w:t> </w:t>
      </w:r>
      <w:r>
        <w:rPr>
          <w:color w:val="6E6158"/>
        </w:rPr>
        <w:t>Advanced Legal Writing; Trial Advocacy Board; Conflicts of Law; and Pre-Trial Litigation.</w:t>
      </w:r>
    </w:p>
    <w:p>
      <w:pPr>
        <w:pStyle w:val="BodyText"/>
        <w:spacing w:line="420" w:lineRule="auto" w:before="112"/>
        <w:ind w:left="99"/>
      </w:pPr>
      <w:r>
        <w:rPr>
          <w:color w:val="6E6158"/>
        </w:rPr>
        <w:t>Recipient, Corporate Counsel Women of Color Scholarship, Corporate Counsel Women of </w:t>
      </w:r>
      <w:r>
        <w:rPr>
          <w:color w:val="6E6158"/>
        </w:rPr>
        <w:t>Color Recipient, DRI Diversity Scholarship Award, Defense Research Institute</w:t>
      </w:r>
    </w:p>
    <w:p>
      <w:pPr>
        <w:pStyle w:val="BodyText"/>
        <w:spacing w:line="302" w:lineRule="auto"/>
        <w:ind w:left="99"/>
      </w:pPr>
      <w:r>
        <w:rPr>
          <w:color w:val="6E6158"/>
        </w:rPr>
        <w:t>Recipient, Competitiveness Scholar, The White House Initiative on Historically Black Colleges </w:t>
      </w:r>
      <w:r>
        <w:rPr>
          <w:color w:val="6E6158"/>
        </w:rPr>
        <w:t>and Universities (HBCUs)</w:t>
      </w:r>
    </w:p>
    <w:p>
      <w:pPr>
        <w:pStyle w:val="BodyText"/>
        <w:spacing w:before="10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Arizona</w:t>
      </w:r>
      <w:r>
        <w:rPr>
          <w:color w:val="6E6158"/>
          <w:spacing w:val="5"/>
        </w:rPr>
        <w:t> </w:t>
      </w:r>
      <w:r>
        <w:rPr>
          <w:color w:val="6E6158"/>
        </w:rPr>
        <w:t>Black</w:t>
      </w:r>
      <w:r>
        <w:rPr>
          <w:color w:val="6E6158"/>
          <w:spacing w:val="6"/>
        </w:rPr>
        <w:t> </w:t>
      </w:r>
      <w:r>
        <w:rPr>
          <w:color w:val="6E6158"/>
        </w:rPr>
        <w:t>Bar,</w:t>
      </w:r>
      <w:r>
        <w:rPr>
          <w:color w:val="6E6158"/>
          <w:spacing w:val="6"/>
        </w:rPr>
        <w:t> </w:t>
      </w:r>
      <w:r>
        <w:rPr>
          <w:color w:val="6E6158"/>
        </w:rPr>
        <w:t>Pro</w:t>
      </w:r>
      <w:r>
        <w:rPr>
          <w:color w:val="6E6158"/>
          <w:spacing w:val="6"/>
        </w:rPr>
        <w:t> </w:t>
      </w:r>
      <w:r>
        <w:rPr>
          <w:color w:val="6E6158"/>
        </w:rPr>
        <w:t>Bono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Volunteer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porche@fennemorelaw.com" TargetMode="External"/><Relationship Id="rId11" Type="http://schemas.openxmlformats.org/officeDocument/2006/relationships/hyperlink" Target="https://www.fennemorelaw.com/services/financial-restructuring-bankruptcy-creditors-righ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Stacy Porché - Fennemore</dc:title>
  <dcterms:created xsi:type="dcterms:W3CDTF">2026-06-12T10:00:12Z</dcterms:created>
  <dcterms:modified xsi:type="dcterms:W3CDTF">2026-06-12T10:00:12Z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