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phanie Trib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800" w:right="80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STEPHANIE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F. TRIBE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602.916.5525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stribe@fennemorelaw.com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Stephanie Trib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800" w:right="80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STEPHANIE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F. TRIBE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602.916.5525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stribe@fennemorelaw.com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STEPHANIE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F.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TRIBE</w:t>
      </w:r>
    </w:p>
    <w:p>
      <w:pPr>
        <w:pStyle w:val="BodyText"/>
        <w:spacing w:line="297" w:lineRule="auto" w:before="147"/>
        <w:ind w:right="699"/>
      </w:pPr>
      <w:r>
        <w:rPr>
          <w:color w:val="6E6158"/>
        </w:rPr>
        <w:t>Stephanie Tribe is chair of our trusts and estates law practice, where she focuses primarily in the</w:t>
      </w:r>
      <w:r>
        <w:rPr>
          <w:color w:val="6E6158"/>
          <w:spacing w:val="40"/>
        </w:rPr>
        <w:t> </w:t>
      </w:r>
      <w:r>
        <w:rPr>
          <w:color w:val="6E6158"/>
        </w:rPr>
        <w:t>areas of estate planning, taxation, and probate estates and trusts. Working primarily with individuals and families, Stephanie takes great pride in finding solutions for their family’s or</w:t>
      </w:r>
      <w:r>
        <w:rPr>
          <w:color w:val="6E6158"/>
          <w:spacing w:val="40"/>
        </w:rPr>
        <w:t> </w:t>
      </w:r>
      <w:r>
        <w:rPr>
          <w:color w:val="6E6158"/>
        </w:rPr>
        <w:t>company’s concerns. As a testament to the strong bonds she creates with her clients, she often</w:t>
      </w:r>
      <w:r>
        <w:rPr>
          <w:color w:val="6E6158"/>
          <w:spacing w:val="40"/>
        </w:rPr>
        <w:t> </w:t>
      </w:r>
      <w:r>
        <w:rPr>
          <w:color w:val="6E6158"/>
        </w:rPr>
        <w:t>finds herself working with the next generation, the children and grandchildren of high net worth</w:t>
      </w:r>
      <w:r>
        <w:rPr>
          <w:color w:val="6E6158"/>
          <w:spacing w:val="40"/>
        </w:rPr>
        <w:t> </w:t>
      </w:r>
      <w:r>
        <w:rPr>
          <w:color w:val="6E6158"/>
        </w:rPr>
        <w:t>individuals, continuing on as the family’s estate planning attorney.</w:t>
      </w:r>
    </w:p>
    <w:p>
      <w:pPr>
        <w:pStyle w:val="BodyText"/>
        <w:spacing w:line="292" w:lineRule="auto" w:before="187"/>
        <w:ind w:right="634"/>
      </w:pPr>
      <w:r>
        <w:rPr>
          <w:color w:val="6E6158"/>
        </w:rPr>
        <w:t>Her areas of experience include preparing comprehensive estate plans, including drafting </w:t>
      </w:r>
      <w:r>
        <w:rPr>
          <w:color w:val="6E6158"/>
        </w:rPr>
        <w:t>wills,</w:t>
      </w:r>
      <w:r>
        <w:rPr>
          <w:color w:val="6E6158"/>
          <w:spacing w:val="40"/>
        </w:rPr>
        <w:t> </w:t>
      </w:r>
      <w:r>
        <w:rPr>
          <w:color w:val="6E6158"/>
        </w:rPr>
        <w:t>revocable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irrevocable</w:t>
      </w:r>
      <w:r>
        <w:rPr>
          <w:color w:val="6E6158"/>
          <w:spacing w:val="37"/>
        </w:rPr>
        <w:t> </w:t>
      </w:r>
      <w:r>
        <w:rPr>
          <w:color w:val="6E6158"/>
        </w:rPr>
        <w:t>trusts,</w:t>
      </w:r>
      <w:r>
        <w:rPr>
          <w:color w:val="6E6158"/>
          <w:spacing w:val="37"/>
        </w:rPr>
        <w:t> </w:t>
      </w:r>
      <w:r>
        <w:rPr>
          <w:color w:val="6E6158"/>
        </w:rPr>
        <w:t>powers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attorney,</w:t>
      </w:r>
      <w:r>
        <w:rPr>
          <w:color w:val="6E6158"/>
          <w:spacing w:val="37"/>
        </w:rPr>
        <w:t> </w:t>
      </w:r>
      <w:r>
        <w:rPr>
          <w:color w:val="6E6158"/>
        </w:rPr>
        <w:t>health</w:t>
      </w:r>
      <w:r>
        <w:rPr>
          <w:color w:val="6E6158"/>
          <w:spacing w:val="37"/>
        </w:rPr>
        <w:t> </w:t>
      </w:r>
      <w:r>
        <w:rPr>
          <w:color w:val="6E6158"/>
        </w:rPr>
        <w:t>care</w:t>
      </w:r>
      <w:r>
        <w:rPr>
          <w:color w:val="6E6158"/>
          <w:spacing w:val="37"/>
        </w:rPr>
        <w:t> </w:t>
      </w:r>
      <w:r>
        <w:rPr>
          <w:color w:val="6E6158"/>
        </w:rPr>
        <w:t>directives,</w:t>
      </w:r>
      <w:r>
        <w:rPr>
          <w:color w:val="6E6158"/>
          <w:spacing w:val="37"/>
        </w:rPr>
        <w:t> </w:t>
      </w:r>
      <w:r>
        <w:rPr>
          <w:color w:val="6E6158"/>
        </w:rPr>
        <w:t>premarital</w:t>
      </w:r>
    </w:p>
    <w:p>
      <w:pPr>
        <w:pStyle w:val="BodyText"/>
        <w:spacing w:line="297" w:lineRule="auto" w:before="1"/>
        <w:ind w:right="699"/>
      </w:pPr>
      <w:r>
        <w:rPr>
          <w:color w:val="6E6158"/>
        </w:rPr>
        <w:t>agreements, and other related documents. Leveraging her extensive experience as an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 lawyer, Stephanie also assists clients with complex estate and gift planning goals by structuring and implementing wealth transfer strategies and through the formation of LLCs,</w:t>
      </w:r>
      <w:r>
        <w:rPr>
          <w:color w:val="6E6158"/>
          <w:spacing w:val="40"/>
        </w:rPr>
        <w:t> </w:t>
      </w:r>
      <w:r>
        <w:rPr>
          <w:color w:val="6E6158"/>
        </w:rPr>
        <w:t>various types of irrevocable trusts, and similar entities. Her clients also rely on her for counsel on</w:t>
      </w:r>
      <w:r>
        <w:rPr>
          <w:color w:val="6E6158"/>
          <w:spacing w:val="40"/>
        </w:rPr>
        <w:t> </w:t>
      </w:r>
      <w:r>
        <w:rPr>
          <w:color w:val="6E6158"/>
        </w:rPr>
        <w:t>charitable gift planning, retirement benefit planning (401(k)s and IRAs), and federal gift and</w:t>
      </w:r>
      <w:r>
        <w:rPr>
          <w:color w:val="6E6158"/>
          <w:spacing w:val="40"/>
        </w:rPr>
        <w:t> </w:t>
      </w:r>
      <w:r>
        <w:rPr>
          <w:color w:val="6E6158"/>
        </w:rPr>
        <w:t>estate taxation.</w:t>
      </w:r>
    </w:p>
    <w:p>
      <w:pPr>
        <w:pStyle w:val="BodyText"/>
        <w:spacing w:line="295" w:lineRule="auto" w:before="188"/>
        <w:ind w:right="699"/>
      </w:pPr>
      <w:r>
        <w:rPr>
          <w:color w:val="6E6158"/>
        </w:rPr>
        <w:t>As the first person in her family to graduate from college, Stephanie transformed her passion for</w:t>
      </w:r>
      <w:r>
        <w:rPr>
          <w:color w:val="6E6158"/>
          <w:spacing w:val="40"/>
        </w:rPr>
        <w:t> </w:t>
      </w:r>
      <w:r>
        <w:rPr>
          <w:color w:val="6E6158"/>
        </w:rPr>
        <w:t>politics, written communications, analytical reasoning, and research into a career as an estate</w:t>
      </w:r>
      <w:r>
        <w:rPr>
          <w:color w:val="6E6158"/>
          <w:spacing w:val="40"/>
        </w:rPr>
        <w:t> </w:t>
      </w:r>
      <w:r>
        <w:rPr>
          <w:color w:val="6E6158"/>
        </w:rPr>
        <w:t>attorney where she profoundly impacts the lives of her clients. An accomplished public speaker,</w:t>
      </w:r>
      <w:r>
        <w:rPr>
          <w:color w:val="6E6158"/>
          <w:spacing w:val="40"/>
        </w:rPr>
        <w:t> </w:t>
      </w:r>
      <w:r>
        <w:rPr>
          <w:color w:val="6E6158"/>
        </w:rPr>
        <w:t>Stephanie regularly presents for organizations such as the National Business Institute (NBI), </w:t>
      </w:r>
      <w:r>
        <w:rPr>
          <w:color w:val="6E6158"/>
        </w:rPr>
        <w:t>sharing</w:t>
      </w:r>
      <w:r>
        <w:rPr>
          <w:color w:val="6E6158"/>
          <w:spacing w:val="40"/>
        </w:rPr>
        <w:t> </w:t>
      </w:r>
      <w:r>
        <w:rPr>
          <w:color w:val="6E6158"/>
        </w:rPr>
        <w:t>her expertise on estate planning law to a broad array of professionals, including CPAs, attorneys</w:t>
      </w:r>
      <w:r>
        <w:rPr>
          <w:color w:val="6E6158"/>
          <w:spacing w:val="40"/>
        </w:rPr>
        <w:t> </w:t>
      </w:r>
      <w:r>
        <w:rPr>
          <w:color w:val="6E6158"/>
        </w:rPr>
        <w:t>and insurance agencies.</w:t>
      </w:r>
    </w:p>
    <w:p>
      <w:pPr>
        <w:pStyle w:val="BodyText"/>
        <w:spacing w:line="292" w:lineRule="auto" w:before="201"/>
        <w:ind w:right="750"/>
      </w:pPr>
      <w:r>
        <w:rPr>
          <w:color w:val="6E6158"/>
        </w:rPr>
        <w:t>Married with three children, Stephanie considers herself a ‘crazy dance mom’ (ask her for her</w:t>
      </w:r>
      <w:r>
        <w:rPr>
          <w:color w:val="6E6158"/>
          <w:spacing w:val="40"/>
        </w:rPr>
        <w:t> </w:t>
      </w:r>
      <w:r>
        <w:rPr>
          <w:color w:val="6E6158"/>
        </w:rPr>
        <w:t>hair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makeup</w:t>
      </w:r>
      <w:r>
        <w:rPr>
          <w:color w:val="6E6158"/>
          <w:spacing w:val="22"/>
        </w:rPr>
        <w:t> </w:t>
      </w:r>
      <w:r>
        <w:rPr>
          <w:color w:val="6E6158"/>
        </w:rPr>
        <w:t>tips),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well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fan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all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her</w:t>
      </w:r>
      <w:r>
        <w:rPr>
          <w:color w:val="6E6158"/>
          <w:spacing w:val="22"/>
        </w:rPr>
        <w:t> </w:t>
      </w:r>
      <w:r>
        <w:rPr>
          <w:color w:val="6E6158"/>
        </w:rPr>
        <w:t>children’s</w:t>
      </w:r>
      <w:r>
        <w:rPr>
          <w:color w:val="6E6158"/>
          <w:spacing w:val="22"/>
        </w:rPr>
        <w:t> </w:t>
      </w:r>
      <w:r>
        <w:rPr>
          <w:color w:val="6E6158"/>
        </w:rPr>
        <w:t>activities,</w:t>
      </w:r>
      <w:r>
        <w:rPr>
          <w:color w:val="6E6158"/>
          <w:spacing w:val="22"/>
        </w:rPr>
        <w:t> </w:t>
      </w:r>
      <w:r>
        <w:rPr>
          <w:color w:val="6E6158"/>
        </w:rPr>
        <w:t>which</w:t>
      </w:r>
      <w:r>
        <w:rPr>
          <w:color w:val="6E6158"/>
          <w:spacing w:val="22"/>
        </w:rPr>
        <w:t> </w:t>
      </w:r>
      <w:r>
        <w:rPr>
          <w:color w:val="6E6158"/>
        </w:rPr>
        <w:t>also</w:t>
      </w:r>
      <w:r>
        <w:rPr>
          <w:color w:val="6E6158"/>
          <w:spacing w:val="22"/>
        </w:rPr>
        <w:t> </w:t>
      </w:r>
      <w:r>
        <w:rPr>
          <w:color w:val="6E6158"/>
        </w:rPr>
        <w:t>include</w:t>
      </w:r>
    </w:p>
    <w:p>
      <w:pPr>
        <w:pStyle w:val="BodyText"/>
        <w:spacing w:before="1"/>
      </w:pPr>
      <w:r>
        <w:rPr>
          <w:color w:val="6E6158"/>
        </w:rPr>
        <w:t>football,</w:t>
      </w:r>
      <w:r>
        <w:rPr>
          <w:color w:val="6E6158"/>
          <w:spacing w:val="10"/>
        </w:rPr>
        <w:t> </w:t>
      </w:r>
      <w:r>
        <w:rPr>
          <w:color w:val="6E6158"/>
        </w:rPr>
        <w:t>gymnastics,</w:t>
      </w:r>
      <w:r>
        <w:rPr>
          <w:color w:val="6E6158"/>
          <w:spacing w:val="10"/>
        </w:rPr>
        <w:t> </w:t>
      </w:r>
      <w:r>
        <w:rPr>
          <w:color w:val="6E6158"/>
        </w:rPr>
        <w:t>piano,</w:t>
      </w:r>
      <w:r>
        <w:rPr>
          <w:color w:val="6E6158"/>
          <w:spacing w:val="11"/>
        </w:rPr>
        <w:t> </w:t>
      </w:r>
      <w:r>
        <w:rPr>
          <w:color w:val="6E6158"/>
        </w:rPr>
        <w:t>guitar,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jiujitsu.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honors,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Utah,</w:t>
      </w:r>
      <w:r>
        <w:rPr>
          <w:color w:val="6E6158"/>
          <w:spacing w:val="11"/>
        </w:rPr>
        <w:t> </w:t>
      </w:r>
      <w:r>
        <w:rPr>
          <w:color w:val="6E6158"/>
        </w:rPr>
        <w:t>S.J.</w:t>
      </w:r>
      <w:r>
        <w:rPr>
          <w:color w:val="6E6158"/>
          <w:spacing w:val="10"/>
        </w:rPr>
        <w:t> </w:t>
      </w:r>
      <w:r>
        <w:rPr>
          <w:color w:val="6E6158"/>
        </w:rPr>
        <w:t>Quinney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82"/>
      </w:pPr>
      <w:r>
        <w:rPr>
          <w:color w:val="6E6158"/>
        </w:rPr>
        <w:t>B.A.</w:t>
      </w:r>
      <w:r>
        <w:rPr>
          <w:color w:val="6E6158"/>
          <w:spacing w:val="6"/>
        </w:rPr>
        <w:t> </w:t>
      </w:r>
      <w:r>
        <w:rPr>
          <w:color w:val="6E6158"/>
        </w:rPr>
        <w:t>Brigham</w:t>
      </w:r>
      <w:r>
        <w:rPr>
          <w:color w:val="6E6158"/>
          <w:spacing w:val="6"/>
        </w:rPr>
        <w:t> </w:t>
      </w:r>
      <w:r>
        <w:rPr>
          <w:color w:val="6E6158"/>
        </w:rPr>
        <w:t>Young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Articles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Review,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2006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Intern,</w:t>
      </w:r>
      <w:r>
        <w:rPr>
          <w:color w:val="6E6158"/>
          <w:spacing w:val="13"/>
        </w:rPr>
        <w:t> </w:t>
      </w:r>
      <w:r>
        <w:rPr>
          <w:color w:val="6E6158"/>
        </w:rPr>
        <w:t>Hon.</w:t>
      </w:r>
      <w:r>
        <w:rPr>
          <w:color w:val="6E6158"/>
          <w:spacing w:val="13"/>
        </w:rPr>
        <w:t> </w:t>
      </w:r>
      <w:r>
        <w:rPr>
          <w:color w:val="6E6158"/>
        </w:rPr>
        <w:t>Matthew</w:t>
      </w:r>
      <w:r>
        <w:rPr>
          <w:color w:val="6E6158"/>
          <w:spacing w:val="13"/>
        </w:rPr>
        <w:t> </w:t>
      </w:r>
      <w:r>
        <w:rPr>
          <w:color w:val="6E6158"/>
        </w:rPr>
        <w:t>B.</w:t>
      </w:r>
      <w:r>
        <w:rPr>
          <w:color w:val="6E6158"/>
          <w:spacing w:val="13"/>
        </w:rPr>
        <w:t> </w:t>
      </w:r>
      <w:r>
        <w:rPr>
          <w:color w:val="6E6158"/>
        </w:rPr>
        <w:t>Durrant,</w:t>
      </w:r>
      <w:r>
        <w:rPr>
          <w:color w:val="6E6158"/>
          <w:spacing w:val="13"/>
        </w:rPr>
        <w:t> </w:t>
      </w:r>
      <w:r>
        <w:rPr>
          <w:color w:val="6E6158"/>
        </w:rPr>
        <w:t>Utah</w:t>
      </w:r>
      <w:r>
        <w:rPr>
          <w:color w:val="6E6158"/>
          <w:spacing w:val="13"/>
        </w:rPr>
        <w:t> </w:t>
      </w:r>
      <w:r>
        <w:rPr>
          <w:color w:val="6E6158"/>
        </w:rPr>
        <w:t>Supreme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2004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74"/>
      </w:pPr>
      <w:r>
        <w:rPr>
          <w:color w:val="6E6158"/>
        </w:rPr>
        <w:t>Private</w:t>
      </w:r>
      <w:r>
        <w:rPr>
          <w:color w:val="6E6158"/>
          <w:spacing w:val="9"/>
        </w:rPr>
        <w:t> </w:t>
      </w:r>
      <w:r>
        <w:rPr>
          <w:color w:val="6E6158"/>
        </w:rPr>
        <w:t>Client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Wealth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Preservation</w:t>
      </w:r>
    </w:p>
    <w:p>
      <w:pPr>
        <w:pStyle w:val="BodyText"/>
        <w:spacing w:before="63"/>
        <w:ind w:left="0"/>
      </w:pPr>
    </w:p>
    <w:p>
      <w:pPr>
        <w:pStyle w:val="BodyText"/>
        <w:spacing w:line="422" w:lineRule="auto"/>
        <w:ind w:right="7644"/>
      </w:pPr>
      <w:r>
        <w:rPr>
          <w:color w:val="6E6158"/>
        </w:rPr>
        <w:t>Trusts &amp; Estates Business &amp; </w:t>
      </w:r>
      <w:r>
        <w:rPr>
          <w:color w:val="6E6158"/>
        </w:rPr>
        <w:t>Finance Tax Law</w:t>
      </w:r>
    </w:p>
    <w:p>
      <w:pPr>
        <w:pStyle w:val="BodyText"/>
        <w:spacing w:line="427" w:lineRule="auto"/>
        <w:ind w:right="7644"/>
      </w:pPr>
      <w:r>
        <w:rPr>
          <w:color w:val="6E6158"/>
        </w:rPr>
        <w:t>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27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Phoenix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9"/>
        </w:rPr>
        <w:t> </w:t>
      </w:r>
      <w:r>
        <w:rPr>
          <w:color w:val="6E6158"/>
        </w:rPr>
        <w:t>Leaders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2026,</w:t>
      </w:r>
      <w:r>
        <w:rPr>
          <w:color w:val="6E6158"/>
          <w:spacing w:val="9"/>
        </w:rPr>
        <w:t> </w:t>
      </w:r>
      <w:r>
        <w:rPr>
          <w:color w:val="6E6158"/>
        </w:rPr>
        <w:t>Phoenix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9"/>
        </w:rPr>
        <w:t> </w:t>
      </w:r>
      <w:r>
        <w:rPr>
          <w:color w:val="6E6158"/>
        </w:rPr>
        <w:t>Leaders,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spacing w:line="408" w:lineRule="auto" w:before="167"/>
        <w:ind w:left="99" w:right="1507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Litigation – Trusts and Estates, Trusts and Estates 2022-</w:t>
      </w:r>
      <w:r>
        <w:rPr>
          <w:color w:val="6E6158"/>
          <w:sz w:val="19"/>
        </w:rPr>
        <w:t>2025 Top Lawyers, Phoenix Magazine, 2025</w:t>
      </w:r>
    </w:p>
    <w:p>
      <w:pPr>
        <w:pStyle w:val="BodyText"/>
        <w:spacing w:before="19"/>
      </w:pPr>
      <w:r>
        <w:rPr>
          <w:color w:val="6E6158"/>
        </w:rPr>
        <w:t>Chambers</w:t>
      </w:r>
      <w:r>
        <w:rPr>
          <w:color w:val="6E6158"/>
          <w:spacing w:val="9"/>
        </w:rPr>
        <w:t> </w:t>
      </w:r>
      <w:r>
        <w:rPr>
          <w:color w:val="6E6158"/>
        </w:rPr>
        <w:t>HNW,</w:t>
      </w:r>
      <w:r>
        <w:rPr>
          <w:color w:val="6E6158"/>
          <w:spacing w:val="8"/>
        </w:rPr>
        <w:t> </w:t>
      </w:r>
      <w:r>
        <w:rPr>
          <w:color w:val="6E6158"/>
        </w:rPr>
        <w:t>Leading</w:t>
      </w:r>
      <w:r>
        <w:rPr>
          <w:color w:val="6E6158"/>
          <w:spacing w:val="9"/>
        </w:rPr>
        <w:t> </w:t>
      </w:r>
      <w:r>
        <w:rPr>
          <w:color w:val="6E6158"/>
        </w:rPr>
        <w:t>High</w:t>
      </w:r>
      <w:r>
        <w:rPr>
          <w:color w:val="6E6158"/>
          <w:spacing w:val="9"/>
        </w:rPr>
        <w:t> </w:t>
      </w:r>
      <w:r>
        <w:rPr>
          <w:color w:val="6E6158"/>
        </w:rPr>
        <w:t>Net</w:t>
      </w:r>
      <w:r>
        <w:rPr>
          <w:color w:val="6E6158"/>
          <w:spacing w:val="9"/>
        </w:rPr>
        <w:t> </w:t>
      </w:r>
      <w:r>
        <w:rPr>
          <w:color w:val="6E6158"/>
        </w:rPr>
        <w:t>Worth</w:t>
      </w:r>
      <w:r>
        <w:rPr>
          <w:color w:val="6E6158"/>
          <w:spacing w:val="9"/>
        </w:rPr>
        <w:t> </w:t>
      </w:r>
      <w:r>
        <w:rPr>
          <w:color w:val="6E6158"/>
        </w:rPr>
        <w:t>Advisors,</w:t>
      </w:r>
      <w:r>
        <w:rPr>
          <w:color w:val="6E6158"/>
          <w:spacing w:val="9"/>
        </w:rPr>
        <w:t> </w:t>
      </w:r>
      <w:r>
        <w:rPr>
          <w:color w:val="6E6158"/>
        </w:rPr>
        <w:t>2023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spacing w:before="16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Planning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699"/>
      </w:pPr>
      <w:r>
        <w:rPr>
          <w:color w:val="6E6158"/>
        </w:rPr>
        <w:t>Featured, “</w:t>
      </w:r>
      <w:hyperlink r:id="rId11">
        <w:r>
          <w:rPr>
            <w:color w:val="F5821F"/>
          </w:rPr>
          <w:t>Most Influential Women of 2025: Stephanie Tribe, Fennemore</w:t>
        </w:r>
      </w:hyperlink>
      <w:r>
        <w:rPr>
          <w:color w:val="6E6158"/>
        </w:rPr>
        <w:t>,” AZ Big Media, </w:t>
      </w:r>
      <w:r>
        <w:rPr>
          <w:color w:val="6E6158"/>
        </w:rPr>
        <w:t>August 19, 2025</w:t>
      </w:r>
    </w:p>
    <w:p>
      <w:pPr>
        <w:pStyle w:val="BodyText"/>
        <w:spacing w:before="113"/>
      </w:pP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“ACTEC</w:t>
      </w:r>
      <w:r>
        <w:rPr>
          <w:color w:val="6E6158"/>
          <w:spacing w:val="12"/>
        </w:rPr>
        <w:t> </w:t>
      </w:r>
      <w:r>
        <w:rPr>
          <w:color w:val="6E6158"/>
        </w:rPr>
        <w:t>Elects</w:t>
      </w:r>
      <w:r>
        <w:rPr>
          <w:color w:val="6E6158"/>
          <w:spacing w:val="12"/>
        </w:rPr>
        <w:t> </w:t>
      </w:r>
      <w:r>
        <w:rPr>
          <w:color w:val="6E6158"/>
        </w:rPr>
        <w:t>53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2"/>
        </w:rPr>
        <w:t> </w:t>
      </w:r>
      <w:r>
        <w:rPr>
          <w:color w:val="6E6158"/>
        </w:rPr>
        <w:t>Fellows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College,”</w:t>
      </w:r>
      <w:r>
        <w:rPr>
          <w:color w:val="6E6158"/>
          <w:spacing w:val="13"/>
        </w:rPr>
        <w:t> </w:t>
      </w:r>
      <w:r>
        <w:rPr>
          <w:color w:val="6E6158"/>
        </w:rPr>
        <w:t>ACTEC,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2"/>
        </w:rPr>
        <w:t> </w:t>
      </w:r>
      <w:r>
        <w:rPr>
          <w:color w:val="6E6158"/>
        </w:rPr>
        <w:t>11,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699"/>
      </w:pPr>
      <w:hyperlink r:id="rId12">
        <w:r>
          <w:rPr>
            <w:color w:val="FF8100"/>
          </w:rPr>
          <w:t>Interview, “A Choice to Challenge: Fennemore’s Stephanie Tribe,” Fennemore Blog, March </w:t>
        </w:r>
        <w:r>
          <w:rPr>
            <w:color w:val="FF8100"/>
          </w:rPr>
          <w:t>4,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  <w:spacing w:val="-4"/>
          </w:rPr>
          <w:t>2021</w:t>
        </w:r>
      </w:hyperlink>
    </w:p>
    <w:p>
      <w:pPr>
        <w:spacing w:line="278" w:lineRule="auto" w:before="121"/>
        <w:ind w:left="99" w:right="699" w:firstLine="0"/>
        <w:jc w:val="left"/>
        <w:rPr>
          <w:sz w:val="19"/>
        </w:rPr>
      </w:pPr>
      <w:r>
        <w:rPr>
          <w:color w:val="6E6158"/>
          <w:sz w:val="19"/>
        </w:rPr>
        <w:t>Co-author, “End-of-year Business Advice for Northern Nevada Businesses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December 11, 2018</w:t>
      </w:r>
    </w:p>
    <w:p>
      <w:pPr>
        <w:pStyle w:val="BodyText"/>
        <w:spacing w:before="133"/>
      </w:pPr>
      <w:hyperlink r:id="rId13">
        <w:r>
          <w:rPr>
            <w:color w:val="FF8100"/>
          </w:rPr>
          <w:t>Co-author,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“Recent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Tax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Developments,”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23,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3"/>
        <w:ind w:right="3916"/>
      </w:pPr>
      <w:r>
        <w:rPr>
          <w:color w:val="6E6158"/>
        </w:rPr>
        <w:t>Fellow, American College of Trust and Estate </w:t>
      </w:r>
      <w:r>
        <w:rPr>
          <w:color w:val="6E6158"/>
        </w:rPr>
        <w:t>Counsel Member, J. Reuben Clark Law Society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East</w:t>
      </w:r>
      <w:r>
        <w:rPr>
          <w:color w:val="6E6158"/>
          <w:spacing w:val="5"/>
        </w:rPr>
        <w:t> </w:t>
      </w:r>
      <w:r>
        <w:rPr>
          <w:color w:val="6E6158"/>
        </w:rPr>
        <w:t>Valley</w:t>
      </w:r>
      <w:r>
        <w:rPr>
          <w:color w:val="6E6158"/>
          <w:spacing w:val="5"/>
        </w:rPr>
        <w:t> </w:t>
      </w:r>
      <w:r>
        <w:rPr>
          <w:color w:val="6E6158"/>
        </w:rPr>
        <w:t>Estate</w:t>
      </w:r>
      <w:r>
        <w:rPr>
          <w:color w:val="6E6158"/>
          <w:spacing w:val="5"/>
        </w:rPr>
        <w:t> </w:t>
      </w:r>
      <w:r>
        <w:rPr>
          <w:color w:val="6E6158"/>
        </w:rPr>
        <w:t>Planning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183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9"/>
        </w:rPr>
        <w:t> </w:t>
      </w:r>
      <w:r>
        <w:rPr>
          <w:color w:val="6E6158"/>
        </w:rPr>
        <w:t>Children’s</w:t>
      </w:r>
      <w:r>
        <w:rPr>
          <w:color w:val="6E6158"/>
          <w:spacing w:val="10"/>
        </w:rPr>
        <w:t> </w:t>
      </w:r>
      <w:r>
        <w:rPr>
          <w:color w:val="6E6158"/>
        </w:rPr>
        <w:t>Museum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Phoenix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Directors,</w:t>
      </w:r>
      <w:r>
        <w:rPr>
          <w:color w:val="6E6158"/>
          <w:spacing w:val="9"/>
        </w:rPr>
        <w:t> </w:t>
      </w:r>
      <w:r>
        <w:rPr>
          <w:color w:val="6E6158"/>
        </w:rPr>
        <w:t>Educare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tribe@fennemorelaw.com" TargetMode="External"/><Relationship Id="rId11" Type="http://schemas.openxmlformats.org/officeDocument/2006/relationships/hyperlink" Target="https://azbigmedia.com/business/most-influential-women-of-2025-stephanie-tribe-fennemore/" TargetMode="External"/><Relationship Id="rId12" Type="http://schemas.openxmlformats.org/officeDocument/2006/relationships/hyperlink" Target="https://www.fennemorelaw.com/insights/blogs/2021/a-choice-to-challenge-fennemore-s-stephanie-tribe" TargetMode="External"/><Relationship Id="rId13" Type="http://schemas.openxmlformats.org/officeDocument/2006/relationships/hyperlink" Target="https://www.fennemorelaw.com/insights/newsletters/2018/recent-tax-developments---2018-januar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F. Tribe - Fennemore</dc:title>
  <dcterms:created xsi:type="dcterms:W3CDTF">2026-06-12T10:22:09Z</dcterms:created>
  <dcterms:modified xsi:type="dcterms:W3CDTF">2026-06-12T10:22:09Z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