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ven Good NEW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STEPHEN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GOOD</w:t>
                              </w:r>
                            </w:p>
                            <w:p>
                              <w:pPr>
                                <w:spacing w:before="48"/>
                                <w:ind w:left="740" w:right="74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602.916.5595</w:t>
                              </w:r>
                            </w:p>
                            <w:p>
                              <w:pPr>
                                <w:spacing w:before="119"/>
                                <w:ind w:left="740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sgood@fennemorelaw.com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ven Good NEW25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STEPHEN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GOOD</w:t>
                        </w:r>
                      </w:p>
                      <w:p>
                        <w:pPr>
                          <w:spacing w:before="48"/>
                          <w:ind w:left="740" w:right="74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602.916.5595</w:t>
                        </w:r>
                      </w:p>
                      <w:p>
                        <w:pPr>
                          <w:spacing w:before="119"/>
                          <w:ind w:left="740" w:right="74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sgood@fennemorelaw.com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STEPHEN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4"/>
          <w:sz w:val="24"/>
        </w:rPr>
        <w:t>GOOD</w:t>
      </w:r>
    </w:p>
    <w:p>
      <w:pPr>
        <w:pStyle w:val="BodyText"/>
        <w:spacing w:line="302" w:lineRule="auto" w:before="147"/>
        <w:ind w:right="677"/>
      </w:pPr>
      <w:r>
        <w:rPr>
          <w:color w:val="6E6158"/>
        </w:rPr>
        <w:t>Steve Good enjoys being an attorney because it gives him the opportunity to read, write and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15"/>
        </w:rPr>
        <w:t> </w:t>
      </w:r>
      <w:r>
        <w:rPr>
          <w:color w:val="6E6158"/>
        </w:rPr>
        <w:t>puzzles,</w:t>
      </w:r>
      <w:r>
        <w:rPr>
          <w:color w:val="6E6158"/>
          <w:spacing w:val="15"/>
        </w:rPr>
        <w:t> </w:t>
      </w:r>
      <w:r>
        <w:rPr>
          <w:color w:val="6E6158"/>
        </w:rPr>
        <w:t>skills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effectively</w:t>
      </w:r>
      <w:r>
        <w:rPr>
          <w:color w:val="6E6158"/>
          <w:spacing w:val="15"/>
        </w:rPr>
        <w:t> </w:t>
      </w:r>
      <w:r>
        <w:rPr>
          <w:color w:val="6E6158"/>
        </w:rPr>
        <w:t>employs</w:t>
      </w:r>
      <w:r>
        <w:rPr>
          <w:color w:val="6E6158"/>
          <w:spacing w:val="15"/>
        </w:rPr>
        <w:t> </w:t>
      </w:r>
      <w:r>
        <w:rPr>
          <w:color w:val="6E6158"/>
        </w:rPr>
        <w:t>daily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business,</w:t>
      </w:r>
      <w:r>
        <w:rPr>
          <w:color w:val="6E6158"/>
          <w:spacing w:val="15"/>
        </w:rPr>
        <w:t> </w:t>
      </w:r>
      <w:r>
        <w:rPr>
          <w:color w:val="6E6158"/>
        </w:rPr>
        <w:t>tax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</w:rPr>
        <w:t>attorney.</w:t>
      </w:r>
    </w:p>
    <w:p>
      <w:pPr>
        <w:pStyle w:val="BodyText"/>
        <w:spacing w:line="292" w:lineRule="auto" w:before="186"/>
        <w:ind w:right="677"/>
      </w:pPr>
      <w:r>
        <w:rPr>
          <w:color w:val="6E6158"/>
        </w:rPr>
        <w:t>Steve assists our clients with structuring their businesses and negotiating commercial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regarding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associated</w:t>
      </w:r>
      <w:r>
        <w:rPr>
          <w:color w:val="6E6158"/>
          <w:spacing w:val="29"/>
        </w:rPr>
        <w:t> </w:t>
      </w:r>
      <w:r>
        <w:rPr>
          <w:color w:val="6E6158"/>
        </w:rPr>
        <w:t>income,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gift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302" w:lineRule="auto" w:before="1"/>
        <w:ind w:right="638"/>
      </w:pPr>
      <w:r>
        <w:rPr>
          <w:color w:val="6E6158"/>
        </w:rPr>
        <w:t>implications. He serves as outside general counsel for a number of closely held businesses,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investment</w:t>
      </w:r>
      <w:r>
        <w:rPr>
          <w:color w:val="6E6158"/>
          <w:spacing w:val="38"/>
        </w:rPr>
        <w:t> </w:t>
      </w:r>
      <w:r>
        <w:rPr>
          <w:color w:val="6E6158"/>
        </w:rPr>
        <w:t>groups,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prominent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substantial</w:t>
      </w:r>
      <w:r>
        <w:rPr>
          <w:color w:val="6E6158"/>
          <w:spacing w:val="38"/>
        </w:rPr>
        <w:t> </w:t>
      </w:r>
      <w:r>
        <w:rPr>
          <w:color w:val="6E6158"/>
        </w:rPr>
        <w:t>private</w:t>
      </w:r>
      <w:r>
        <w:rPr>
          <w:color w:val="6E6158"/>
          <w:spacing w:val="38"/>
        </w:rPr>
        <w:t> </w:t>
      </w:r>
      <w:r>
        <w:rPr>
          <w:color w:val="6E6158"/>
        </w:rPr>
        <w:t>foundation</w:t>
      </w:r>
      <w:r>
        <w:rPr>
          <w:color w:val="6E6158"/>
          <w:spacing w:val="38"/>
        </w:rPr>
        <w:t> </w:t>
      </w:r>
      <w:r>
        <w:rPr>
          <w:color w:val="6E6158"/>
        </w:rPr>
        <w:t>headquartered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right="677"/>
      </w:pPr>
      <w:r>
        <w:rPr>
          <w:color w:val="6E6158"/>
        </w:rPr>
        <w:t>Phoenix. He also helps families and business owners accomplish their estate planning, </w:t>
      </w:r>
      <w:r>
        <w:rPr>
          <w:color w:val="6E6158"/>
        </w:rPr>
        <w:t>succession</w:t>
      </w:r>
      <w:r>
        <w:rPr>
          <w:color w:val="6E6158"/>
          <w:spacing w:val="40"/>
        </w:rPr>
        <w:t> </w:t>
      </w:r>
      <w:r>
        <w:rPr>
          <w:color w:val="6E6158"/>
        </w:rPr>
        <w:t>and wealth preservation objectives in a tax-efficient manner.</w:t>
      </w:r>
    </w:p>
    <w:p>
      <w:pPr>
        <w:pStyle w:val="BodyText"/>
        <w:spacing w:line="297" w:lineRule="auto" w:before="187"/>
        <w:ind w:right="638"/>
      </w:pPr>
      <w:r>
        <w:rPr>
          <w:color w:val="6E6158"/>
        </w:rPr>
        <w:t>A native of Pittsburgh, PA, Steve joined us right after graduating from law school. When he is not</w:t>
      </w:r>
      <w:r>
        <w:rPr>
          <w:color w:val="6E6158"/>
          <w:spacing w:val="40"/>
        </w:rPr>
        <w:t> </w:t>
      </w:r>
      <w:r>
        <w:rPr>
          <w:color w:val="6E6158"/>
        </w:rPr>
        <w:t>at work, Steve enjoys spending time with his wife and three children, and he is an avid college</w:t>
      </w:r>
      <w:r>
        <w:rPr>
          <w:color w:val="6E6158"/>
          <w:spacing w:val="40"/>
        </w:rPr>
        <w:t> </w:t>
      </w:r>
      <w:r>
        <w:rPr>
          <w:color w:val="6E6158"/>
        </w:rPr>
        <w:t>sports fan, especially of University of Miami football and Duke basketball.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Duke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7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Miami,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82"/>
      </w:pPr>
      <w:r>
        <w:rPr>
          <w:color w:val="6E6158"/>
        </w:rPr>
        <w:t>Private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Wealth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Preservation</w:t>
      </w:r>
    </w:p>
    <w:p>
      <w:pPr>
        <w:pStyle w:val="BodyText"/>
        <w:spacing w:before="62"/>
        <w:ind w:left="0"/>
      </w:pPr>
    </w:p>
    <w:p>
      <w:pPr>
        <w:pStyle w:val="BodyText"/>
        <w:spacing w:line="422" w:lineRule="auto" w:before="1"/>
        <w:ind w:right="7644"/>
      </w:pPr>
      <w:r>
        <w:rPr>
          <w:color w:val="6E6158"/>
        </w:rPr>
        <w:t>Business &amp; </w:t>
      </w:r>
      <w:r>
        <w:rPr>
          <w:color w:val="6E6158"/>
        </w:rPr>
        <w:t>Finance Estate Litigation Estate Planning</w:t>
      </w:r>
    </w:p>
    <w:p>
      <w:pPr>
        <w:pStyle w:val="BodyText"/>
        <w:spacing w:line="232" w:lineRule="exac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2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74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4"/>
        <w:ind w:left="99" w:right="67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Closely Held Companies and Family Businesses Law, 2025</w:t>
      </w:r>
    </w:p>
    <w:p>
      <w:pPr>
        <w:spacing w:before="12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line="405" w:lineRule="auto" w:before="165"/>
        <w:ind w:left="99" w:right="67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Closely Held Companies and Family Business Law, 2022-</w:t>
      </w:r>
      <w:r>
        <w:rPr>
          <w:color w:val="6E6158"/>
          <w:sz w:val="19"/>
        </w:rPr>
        <w:t>2025 Recommended in </w:t>
      </w:r>
      <w:r>
        <w:rPr>
          <w:i/>
          <w:color w:val="6E6158"/>
          <w:sz w:val="20"/>
        </w:rPr>
        <w:t>The Legal 500 US</w:t>
      </w:r>
      <w:r>
        <w:rPr>
          <w:color w:val="6E6158"/>
          <w:sz w:val="19"/>
        </w:rPr>
        <w:t>, Real Estate, 2011, 2014, 2019-2020</w:t>
      </w:r>
    </w:p>
    <w:p>
      <w:pPr>
        <w:spacing w:line="238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/>
        <w:ind w:right="677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23"/>
        <w:ind w:right="677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23"/>
      </w:pPr>
      <w:hyperlink r:id="rId14">
        <w:r>
          <w:rPr>
            <w:color w:val="F5821F"/>
          </w:rPr>
          <w:t>Co-Author, Fennemore Notice To Clients – Corporate Transparency Act,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December 29, 2023</w:t>
        </w:r>
      </w:hyperlink>
    </w:p>
    <w:p>
      <w:pPr>
        <w:pStyle w:val="BodyText"/>
        <w:spacing w:line="292" w:lineRule="auto" w:before="131"/>
      </w:pPr>
      <w:hyperlink r:id="rId15">
        <w:r>
          <w:rPr>
            <w:color w:val="FF8100"/>
          </w:rPr>
          <w:t>Co-author, “IRS and the Arizona Department of Revenue Extend Tax Filing Deadlines to July 15,”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Fennemore Client Alert, March 26, 2020</w:t>
        </w:r>
      </w:hyperlink>
    </w:p>
    <w:p>
      <w:pPr>
        <w:spacing w:line="285" w:lineRule="auto" w:before="114"/>
        <w:ind w:left="99" w:right="677" w:firstLine="0"/>
        <w:jc w:val="left"/>
        <w:rPr>
          <w:sz w:val="19"/>
        </w:rPr>
      </w:pP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line="292" w:lineRule="auto" w:before="126"/>
        <w:ind w:right="677"/>
      </w:pPr>
      <w:hyperlink r:id="rId16">
        <w:r>
          <w:rPr>
            <w:color w:val="FF8100"/>
          </w:rPr>
          <w:t>Co-author, “IRS Proposes Eliminating Charitable Deduction for Donations to State Tuition </w:t>
        </w:r>
        <w:r>
          <w:rPr>
            <w:color w:val="FF8100"/>
          </w:rPr>
          <w:t>Tax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Credit Programs,” Fennemore Client Alert, August 24, 2018</w:t>
        </w:r>
      </w:hyperlink>
    </w:p>
    <w:p>
      <w:pPr>
        <w:pStyle w:val="BodyText"/>
        <w:spacing w:line="297" w:lineRule="auto" w:before="123"/>
        <w:ind w:right="699"/>
      </w:pPr>
      <w:hyperlink r:id="rId17">
        <w:r>
          <w:rPr>
            <w:color w:val="FF8100"/>
          </w:rPr>
          <w:t>Co-author, “Qualified Opportunity Zones: A New Program Allowing Taxpayers to Defer or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Eliminate Capital Gains When Investing in Economically Disadvantaged Areas,” </w:t>
        </w:r>
        <w:r>
          <w:rPr>
            <w:color w:val="FF8100"/>
          </w:rPr>
          <w:t>Fennemore</w:t>
        </w:r>
      </w:hyperlink>
      <w:r>
        <w:rPr>
          <w:color w:val="FF8100"/>
          <w:spacing w:val="40"/>
        </w:rPr>
        <w:t> </w:t>
      </w:r>
      <w:hyperlink r:id="rId17">
        <w:r>
          <w:rPr>
            <w:color w:val="FF8100"/>
          </w:rPr>
          <w:t>Client Alert, April 17, 2018</w:t>
        </w:r>
      </w:hyperlink>
    </w:p>
    <w:p>
      <w:pPr>
        <w:pStyle w:val="BodyText"/>
        <w:spacing w:line="408" w:lineRule="auto" w:before="118"/>
        <w:ind w:right="2161"/>
      </w:pPr>
      <w:r>
        <w:rPr>
          <w:color w:val="6E6158"/>
        </w:rPr>
        <w:t>Speaker, “Phoenix Tax Workshop,” Arizona Society of CPAs, June 16, </w:t>
      </w:r>
      <w:r>
        <w:rPr>
          <w:color w:val="6E6158"/>
        </w:rPr>
        <w:t>2018 Quoted, “Healthcare in Today’s Workplace,” </w:t>
      </w:r>
      <w:r>
        <w:rPr>
          <w:i/>
          <w:color w:val="6E6158"/>
          <w:sz w:val="20"/>
        </w:rPr>
        <w:t>InBusiness, </w:t>
      </w:r>
      <w:r>
        <w:rPr>
          <w:color w:val="6E6158"/>
        </w:rPr>
        <w:t>April 2017</w:t>
      </w:r>
    </w:p>
    <w:p>
      <w:pPr>
        <w:spacing w:line="288" w:lineRule="auto" w:before="2"/>
        <w:ind w:left="99" w:right="677" w:firstLine="0"/>
        <w:jc w:val="left"/>
        <w:rPr>
          <w:sz w:val="19"/>
        </w:rPr>
      </w:pPr>
      <w:r>
        <w:rPr>
          <w:color w:val="6E6158"/>
          <w:sz w:val="19"/>
        </w:rPr>
        <w:t>Co-Author, “When Do Targeted Allocations Need Economic Effect?” </w:t>
      </w:r>
      <w:r>
        <w:rPr>
          <w:i/>
          <w:color w:val="6E6158"/>
          <w:sz w:val="20"/>
        </w:rPr>
        <w:t>Real Estate Taxation, </w:t>
      </w:r>
      <w:r>
        <w:rPr>
          <w:color w:val="6E6158"/>
          <w:sz w:val="19"/>
        </w:rPr>
        <w:t>3</w:t>
      </w:r>
      <w:r>
        <w:rPr>
          <w:color w:val="6E6158"/>
          <w:position w:val="7"/>
          <w:sz w:val="16"/>
        </w:rPr>
        <w:t>rd </w:t>
      </w:r>
      <w:r>
        <w:rPr>
          <w:color w:val="6E6158"/>
          <w:sz w:val="19"/>
        </w:rPr>
        <w:t>Quarter 2016</w:t>
      </w:r>
    </w:p>
    <w:p>
      <w:pPr>
        <w:pStyle w:val="BodyText"/>
        <w:spacing w:before="11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4972"/>
      </w:pPr>
      <w:r>
        <w:rPr>
          <w:color w:val="6E6158"/>
        </w:rPr>
        <w:t>Board of Trustees, Arizona Science </w:t>
      </w:r>
      <w:r>
        <w:rPr>
          <w:color w:val="6E6158"/>
        </w:rPr>
        <w:t>Center Member, State Bar of Arizona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77"/>
      </w:pPr>
      <w:r>
        <w:rPr>
          <w:color w:val="6E6158"/>
        </w:rPr>
        <w:t>Ronald McDonald House Charities of Phoenix, Inc., Board of Directors, 1999-2009; President, </w:t>
      </w:r>
      <w:r>
        <w:rPr>
          <w:color w:val="6E6158"/>
        </w:rPr>
        <w:t>2007,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32"/>
      </w:pPr>
      <w:r>
        <w:rPr>
          <w:color w:val="6E6158"/>
        </w:rPr>
        <w:t>Reporter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69th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Town</w:t>
      </w:r>
      <w:r>
        <w:rPr>
          <w:color w:val="6E6158"/>
          <w:spacing w:val="10"/>
        </w:rPr>
        <w:t> </w:t>
      </w:r>
      <w:r>
        <w:rPr>
          <w:color w:val="6E6158"/>
        </w:rPr>
        <w:t>Hall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“Building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Community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Citizens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Arizona,”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good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fennemorelaw.com/client-alert-corporate-transparency-act-compliance-new-filing-deadline-compliance-tool/" TargetMode="External"/><Relationship Id="rId13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4" Type="http://schemas.openxmlformats.org/officeDocument/2006/relationships/hyperlink" Target="https://www.fennemorelaw.com/wp-content/uploads/2023/12/Corporate-Formation-Filings-and-Deadlines-Fennemore-Notice-to-Clients-re-CTA.pdf" TargetMode="External"/><Relationship Id="rId15" Type="http://schemas.openxmlformats.org/officeDocument/2006/relationships/hyperlink" Target="https://www.fennemorelaw.com/insights/newsletters/2020/irs-and-the-arizona-department-of-revenue-extend-tax-filing-deadlines-to-july-15" TargetMode="External"/><Relationship Id="rId16" Type="http://schemas.openxmlformats.org/officeDocument/2006/relationships/hyperlink" Target="https://www.fennemorelaw.com/insights/newsletters/2018/irs-proposes-eliminating-charitable-deduction-for-donations-to-state-tuition-tax-credit-programs" TargetMode="External"/><Relationship Id="rId17" Type="http://schemas.openxmlformats.org/officeDocument/2006/relationships/hyperlink" Target="https://www.fennemorelaw.com/insights/newsletters/2018/qualified-opportunity-zones-a-new-program-allowing-taxpayers-to-defer-or-eliminate-capital-gains-when-investing-in-economically-disadvantaged-area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A. Good - Fennemore</dc:title>
  <dcterms:created xsi:type="dcterms:W3CDTF">2026-06-12T10:25:00Z</dcterms:created>
  <dcterms:modified xsi:type="dcterms:W3CDTF">2026-06-12T10:25:00Z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