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162935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Steven Morger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89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609" w:right="611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STEVEN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M.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MORGER</w:t>
                              </w:r>
                            </w:p>
                            <w:p>
                              <w:pPr>
                                <w:spacing w:before="48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Counsel</w:t>
                              </w:r>
                            </w:p>
                            <w:p>
                              <w:pPr>
                                <w:spacing w:before="291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Oakland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4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510.834.6600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510.834.1928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smorger@fennemorelaw.com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49.05pt;mso-position-horizontal-relative:char;mso-position-vertical-relative:line" id="docshapegroup1" coordorigin="0,0" coordsize="9562,4981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557" type="#_x0000_t75" id="docshape3" alt="Steven Morger" stroked="false">
                  <v:imagedata r:id="rId7" o:title=""/>
                </v:shape>
                <v:rect style="position:absolute;left:4784;top:423;width:4777;height:455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55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609" w:right="611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STEVEN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M.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MORGER</w:t>
                        </w:r>
                      </w:p>
                      <w:p>
                        <w:pPr>
                          <w:spacing w:before="48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Of</w:t>
                        </w:r>
                        <w:r>
                          <w:rPr>
                            <w:color w:val="FFFFFF"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Counsel</w:t>
                        </w:r>
                      </w:p>
                      <w:p>
                        <w:pPr>
                          <w:spacing w:before="291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Oakland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4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510.834.6600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510.834.1928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smorger@fennemorelaw.com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2"/>
        <w:spacing w:before="63"/>
      </w:pPr>
      <w:r>
        <w:rPr>
          <w:color w:val="FF8100"/>
        </w:rPr>
        <w:t>STEVEN</w:t>
      </w:r>
      <w:r>
        <w:rPr>
          <w:color w:val="FF8100"/>
          <w:spacing w:val="6"/>
        </w:rPr>
        <w:t> </w:t>
      </w:r>
      <w:r>
        <w:rPr>
          <w:color w:val="FF8100"/>
        </w:rPr>
        <w:t>M.</w:t>
      </w:r>
      <w:r>
        <w:rPr>
          <w:color w:val="FF8100"/>
          <w:spacing w:val="7"/>
        </w:rPr>
        <w:t> </w:t>
      </w:r>
      <w:r>
        <w:rPr>
          <w:color w:val="FF8100"/>
          <w:spacing w:val="-2"/>
        </w:rPr>
        <w:t>MORGER</w:t>
      </w:r>
    </w:p>
    <w:p>
      <w:pPr>
        <w:pStyle w:val="BodyText"/>
        <w:spacing w:line="297" w:lineRule="auto" w:before="147"/>
        <w:ind w:right="777"/>
      </w:pPr>
      <w:r>
        <w:rPr>
          <w:color w:val="6E6158"/>
        </w:rPr>
        <w:t>Steve, an experienced business litigator, represents clients involved in real estate and complex business disputes. He has particular expertise in the areas of mortgages, deeds of trust,</w:t>
      </w:r>
      <w:r>
        <w:rPr>
          <w:color w:val="6E6158"/>
          <w:spacing w:val="40"/>
        </w:rPr>
        <w:t> </w:t>
      </w:r>
      <w:r>
        <w:rPr>
          <w:color w:val="6E6158"/>
        </w:rPr>
        <w:t>foreclosure and antideficiency issues as well as guarantees. He also taught for 20 years at the</w:t>
      </w:r>
      <w:r>
        <w:rPr>
          <w:color w:val="6E6158"/>
          <w:spacing w:val="40"/>
        </w:rPr>
        <w:t> </w:t>
      </w:r>
      <w:r>
        <w:rPr>
          <w:color w:val="6E6158"/>
        </w:rPr>
        <w:t>University of California, Berkeley, School of Law.</w:t>
      </w:r>
      <w:r>
        <w:rPr>
          <w:color w:val="6E6158"/>
          <w:spacing w:val="80"/>
        </w:rPr>
        <w:t> </w:t>
      </w:r>
      <w:r>
        <w:rPr>
          <w:color w:val="6E6158"/>
        </w:rPr>
        <w:t>Steve has provided expert testimony </w:t>
      </w:r>
      <w:r>
        <w:rPr>
          <w:color w:val="6E6158"/>
        </w:rPr>
        <w:t>involving real estate secured transactions and guarantees as well as title insurance, escrow and related</w:t>
      </w:r>
      <w:r>
        <w:rPr>
          <w:color w:val="6E6158"/>
          <w:spacing w:val="40"/>
        </w:rPr>
        <w:t> </w:t>
      </w:r>
      <w:r>
        <w:rPr>
          <w:color w:val="6E6158"/>
        </w:rPr>
        <w:t>disputes.</w:t>
      </w:r>
      <w:r>
        <w:rPr>
          <w:color w:val="6E6158"/>
          <w:spacing w:val="27"/>
        </w:rPr>
        <w:t> </w:t>
      </w:r>
      <w:r>
        <w:rPr>
          <w:color w:val="6E6158"/>
        </w:rPr>
        <w:t>He</w:t>
      </w:r>
      <w:r>
        <w:rPr>
          <w:color w:val="6E6158"/>
          <w:spacing w:val="27"/>
        </w:rPr>
        <w:t> </w:t>
      </w:r>
      <w:r>
        <w:rPr>
          <w:color w:val="6E6158"/>
        </w:rPr>
        <w:t>works</w:t>
      </w:r>
      <w:r>
        <w:rPr>
          <w:color w:val="6E6158"/>
          <w:spacing w:val="27"/>
        </w:rPr>
        <w:t> </w:t>
      </w:r>
      <w:r>
        <w:rPr>
          <w:color w:val="6E6158"/>
        </w:rPr>
        <w:t>with</w:t>
      </w:r>
      <w:r>
        <w:rPr>
          <w:color w:val="6E6158"/>
          <w:spacing w:val="27"/>
        </w:rPr>
        <w:t> </w:t>
      </w:r>
      <w:r>
        <w:rPr>
          <w:color w:val="6E6158"/>
        </w:rPr>
        <w:t>all</w:t>
      </w:r>
      <w:r>
        <w:rPr>
          <w:color w:val="6E6158"/>
          <w:spacing w:val="27"/>
        </w:rPr>
        <w:t> </w:t>
      </w:r>
      <w:r>
        <w:rPr>
          <w:color w:val="6E6158"/>
        </w:rPr>
        <w:t>aspects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civil</w:t>
      </w:r>
      <w:r>
        <w:rPr>
          <w:color w:val="6E6158"/>
          <w:spacing w:val="27"/>
        </w:rPr>
        <w:t> </w:t>
      </w:r>
      <w:r>
        <w:rPr>
          <w:color w:val="6E6158"/>
        </w:rPr>
        <w:t>litigation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discovery</w:t>
      </w:r>
      <w:r>
        <w:rPr>
          <w:color w:val="6E6158"/>
          <w:spacing w:val="27"/>
        </w:rPr>
        <w:t> </w:t>
      </w:r>
      <w:r>
        <w:rPr>
          <w:color w:val="6E6158"/>
        </w:rPr>
        <w:t>through</w:t>
      </w:r>
      <w:r>
        <w:rPr>
          <w:color w:val="6E6158"/>
          <w:spacing w:val="27"/>
        </w:rPr>
        <w:t> </w:t>
      </w:r>
      <w:r>
        <w:rPr>
          <w:color w:val="6E6158"/>
        </w:rPr>
        <w:t>trial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appeal.</w:t>
      </w:r>
    </w:p>
    <w:p>
      <w:pPr>
        <w:pStyle w:val="Heading2"/>
        <w:spacing w:before="153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</w:rPr>
        <w:t>LL.M.,</w:t>
      </w:r>
      <w:r>
        <w:rPr>
          <w:color w:val="6E6158"/>
          <w:spacing w:val="13"/>
        </w:rPr>
        <w:t> </w:t>
      </w:r>
      <w:r>
        <w:rPr>
          <w:color w:val="6E6158"/>
        </w:rPr>
        <w:t>Golden</w:t>
      </w:r>
      <w:r>
        <w:rPr>
          <w:color w:val="6E6158"/>
          <w:spacing w:val="14"/>
        </w:rPr>
        <w:t> </w:t>
      </w:r>
      <w:r>
        <w:rPr>
          <w:color w:val="6E6158"/>
        </w:rPr>
        <w:t>Gate</w:t>
      </w:r>
      <w:r>
        <w:rPr>
          <w:color w:val="6E6158"/>
          <w:spacing w:val="14"/>
        </w:rPr>
        <w:t> </w:t>
      </w:r>
      <w:r>
        <w:rPr>
          <w:color w:val="6E6158"/>
        </w:rPr>
        <w:t>University,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Taxation</w:t>
      </w:r>
    </w:p>
    <w:p>
      <w:pPr>
        <w:pStyle w:val="BodyText"/>
        <w:spacing w:before="174"/>
      </w:pPr>
      <w:r>
        <w:rPr>
          <w:color w:val="6E6158"/>
        </w:rPr>
        <w:t>J.D.,</w:t>
      </w:r>
      <w:r>
        <w:rPr>
          <w:color w:val="6E6158"/>
          <w:spacing w:val="12"/>
        </w:rPr>
        <w:t> </w:t>
      </w:r>
      <w:r>
        <w:rPr>
          <w:color w:val="6E6158"/>
        </w:rPr>
        <w:t>University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California,</w:t>
      </w:r>
      <w:r>
        <w:rPr>
          <w:color w:val="6E6158"/>
          <w:spacing w:val="13"/>
        </w:rPr>
        <w:t> </w:t>
      </w:r>
      <w:r>
        <w:rPr>
          <w:color w:val="6E6158"/>
        </w:rPr>
        <w:t>Berkeley,</w:t>
      </w:r>
      <w:r>
        <w:rPr>
          <w:color w:val="6E6158"/>
          <w:spacing w:val="13"/>
        </w:rPr>
        <w:t> </w:t>
      </w:r>
      <w:r>
        <w:rPr>
          <w:color w:val="6E6158"/>
        </w:rPr>
        <w:t>School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line="292" w:lineRule="auto" w:before="182"/>
        <w:ind w:right="777"/>
      </w:pPr>
      <w:r>
        <w:rPr>
          <w:color w:val="6E6158"/>
        </w:rPr>
        <w:t>B.S., University of California, Berkeley, Business Administration with an emphasis in </w:t>
      </w:r>
      <w:r>
        <w:rPr>
          <w:color w:val="6E6158"/>
        </w:rPr>
        <w:t>Accounting</w:t>
      </w:r>
      <w:r>
        <w:rPr>
          <w:color w:val="6E6158"/>
          <w:spacing w:val="40"/>
        </w:rPr>
        <w:t> </w:t>
      </w:r>
      <w:r>
        <w:rPr>
          <w:color w:val="6E6158"/>
        </w:rPr>
        <w:t>and Finance</w:t>
      </w:r>
    </w:p>
    <w:p>
      <w:pPr>
        <w:pStyle w:val="BodyText"/>
        <w:spacing w:before="112"/>
        <w:ind w:left="0"/>
        <w:rPr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52"/>
        <w:ind w:left="0"/>
        <w:rPr>
          <w:b/>
        </w:rPr>
      </w:pPr>
    </w:p>
    <w:p>
      <w:pPr>
        <w:pStyle w:val="BodyText"/>
        <w:spacing w:line="544" w:lineRule="auto"/>
        <w:ind w:right="7019"/>
      </w:pPr>
      <w:r>
        <w:rPr>
          <w:color w:val="6E6158"/>
        </w:rPr>
        <w:t>Real Estate </w:t>
      </w:r>
      <w:r>
        <w:rPr>
          <w:color w:val="6E6158"/>
        </w:rPr>
        <w:t>Litigation Business Litigation</w:t>
      </w:r>
    </w:p>
    <w:p>
      <w:pPr>
        <w:pStyle w:val="Heading2"/>
        <w:spacing w:before="16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5"/>
        <w:ind w:left="0"/>
        <w:rPr>
          <w:b/>
          <w:sz w:val="20"/>
        </w:rPr>
      </w:pPr>
    </w:p>
    <w:p>
      <w:pPr>
        <w:spacing w:before="1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Northern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California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color w:val="6E6158"/>
          <w:sz w:val="19"/>
        </w:rPr>
        <w:t>®,</w:t>
      </w:r>
      <w:r>
        <w:rPr>
          <w:color w:val="6E6158"/>
          <w:spacing w:val="-8"/>
          <w:sz w:val="19"/>
        </w:rPr>
        <w:t> </w:t>
      </w:r>
      <w:r>
        <w:rPr>
          <w:color w:val="6E6158"/>
          <w:sz w:val="19"/>
        </w:rPr>
        <w:t>2004</w:t>
      </w:r>
      <w:r>
        <w:rPr>
          <w:color w:val="6E6158"/>
          <w:spacing w:val="-8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-9"/>
          <w:sz w:val="19"/>
        </w:rPr>
        <w:t> </w:t>
      </w:r>
      <w:r>
        <w:rPr>
          <w:color w:val="6E6158"/>
          <w:sz w:val="19"/>
        </w:rPr>
        <w:t>2007-</w:t>
      </w:r>
      <w:r>
        <w:rPr>
          <w:color w:val="6E6158"/>
          <w:spacing w:val="-4"/>
          <w:sz w:val="19"/>
        </w:rPr>
        <w:t>2022</w:t>
      </w:r>
    </w:p>
    <w:p>
      <w:pPr>
        <w:pStyle w:val="BodyText"/>
        <w:spacing w:before="168"/>
        <w:ind w:left="0"/>
        <w:rPr>
          <w:sz w:val="24"/>
        </w:rPr>
      </w:pPr>
    </w:p>
    <w:p>
      <w:pPr>
        <w:pStyle w:val="Heading2"/>
        <w:spacing w:before="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292" w:lineRule="auto"/>
        <w:ind w:right="649"/>
      </w:pPr>
      <w:r>
        <w:rPr>
          <w:color w:val="6E6158"/>
        </w:rPr>
        <w:t>Speaker, “Sale Remedies,” Continuing Education of the Bar Real Property Basics, December </w:t>
      </w:r>
      <w:r>
        <w:rPr>
          <w:color w:val="6E6158"/>
        </w:rPr>
        <w:t>11, </w:t>
      </w:r>
      <w:r>
        <w:rPr>
          <w:color w:val="6E6158"/>
          <w:spacing w:val="-4"/>
        </w:rPr>
        <w:t>2019</w:t>
      </w:r>
    </w:p>
    <w:p>
      <w:pPr>
        <w:pStyle w:val="BodyText"/>
        <w:spacing w:after="0" w:line="292" w:lineRule="auto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line="292" w:lineRule="auto" w:before="83"/>
        <w:ind w:right="777"/>
      </w:pPr>
      <w:r>
        <w:rPr>
          <w:color w:val="6E6158"/>
        </w:rPr>
        <w:t>Speaker, “Finance Remedies,” Continuing Education of the Bar Real Property Basics, </w:t>
      </w:r>
      <w:r>
        <w:rPr>
          <w:color w:val="6E6158"/>
        </w:rPr>
        <w:t>November 25, 2019</w:t>
      </w:r>
    </w:p>
    <w:p>
      <w:pPr>
        <w:pStyle w:val="BodyText"/>
        <w:spacing w:before="132"/>
      </w:pPr>
      <w:r>
        <w:rPr>
          <w:color w:val="6E6158"/>
        </w:rPr>
        <w:t>Speaker,</w:t>
      </w:r>
      <w:r>
        <w:rPr>
          <w:color w:val="6E6158"/>
          <w:spacing w:val="14"/>
        </w:rPr>
        <w:t> </w:t>
      </w:r>
      <w:r>
        <w:rPr>
          <w:color w:val="6E6158"/>
        </w:rPr>
        <w:t>“ACBA</w:t>
      </w:r>
      <w:r>
        <w:rPr>
          <w:color w:val="6E6158"/>
          <w:spacing w:val="15"/>
        </w:rPr>
        <w:t> </w:t>
      </w:r>
      <w:r>
        <w:rPr>
          <w:color w:val="6E6158"/>
        </w:rPr>
        <w:t>Bankruptcy</w:t>
      </w:r>
      <w:r>
        <w:rPr>
          <w:color w:val="6E6158"/>
          <w:spacing w:val="14"/>
        </w:rPr>
        <w:t> </w:t>
      </w:r>
      <w:r>
        <w:rPr>
          <w:color w:val="6E6158"/>
        </w:rPr>
        <w:t>Symposium,”</w:t>
      </w:r>
      <w:r>
        <w:rPr>
          <w:color w:val="6E6158"/>
          <w:spacing w:val="15"/>
        </w:rPr>
        <w:t> </w:t>
      </w:r>
      <w:r>
        <w:rPr>
          <w:color w:val="6E6158"/>
        </w:rPr>
        <w:t>Alameda</w:t>
      </w:r>
      <w:r>
        <w:rPr>
          <w:color w:val="6E6158"/>
          <w:spacing w:val="15"/>
        </w:rPr>
        <w:t> </w:t>
      </w:r>
      <w:r>
        <w:rPr>
          <w:color w:val="6E6158"/>
        </w:rPr>
        <w:t>County</w:t>
      </w:r>
      <w:r>
        <w:rPr>
          <w:color w:val="6E6158"/>
          <w:spacing w:val="14"/>
        </w:rPr>
        <w:t> </w:t>
      </w:r>
      <w:r>
        <w:rPr>
          <w:color w:val="6E6158"/>
        </w:rPr>
        <w:t>Bar</w:t>
      </w:r>
      <w:r>
        <w:rPr>
          <w:color w:val="6E6158"/>
          <w:spacing w:val="15"/>
        </w:rPr>
        <w:t> </w:t>
      </w:r>
      <w:r>
        <w:rPr>
          <w:color w:val="6E6158"/>
        </w:rPr>
        <w:t>Association,</w:t>
      </w:r>
      <w:r>
        <w:rPr>
          <w:color w:val="6E6158"/>
          <w:spacing w:val="14"/>
        </w:rPr>
        <w:t> </w:t>
      </w:r>
      <w:r>
        <w:rPr>
          <w:color w:val="6E6158"/>
        </w:rPr>
        <w:t>November</w:t>
      </w:r>
      <w:r>
        <w:rPr>
          <w:color w:val="6E6158"/>
          <w:spacing w:val="15"/>
        </w:rPr>
        <w:t> </w:t>
      </w:r>
      <w:r>
        <w:rPr>
          <w:color w:val="6E6158"/>
        </w:rPr>
        <w:t>15,</w:t>
      </w:r>
      <w:r>
        <w:rPr>
          <w:color w:val="6E6158"/>
          <w:spacing w:val="15"/>
        </w:rPr>
        <w:t> </w:t>
      </w:r>
      <w:r>
        <w:rPr>
          <w:color w:val="6E6158"/>
          <w:spacing w:val="-4"/>
        </w:rPr>
        <w:t>2019</w:t>
      </w:r>
    </w:p>
    <w:p>
      <w:pPr>
        <w:pStyle w:val="BodyText"/>
        <w:spacing w:line="292" w:lineRule="auto" w:before="174"/>
        <w:ind w:right="777"/>
      </w:pPr>
      <w:r>
        <w:rPr>
          <w:color w:val="6E6158"/>
        </w:rPr>
        <w:t>Speaker, “Title Insurance,” Continuing Education of the Bar Real Property Basics, November </w:t>
      </w:r>
      <w:r>
        <w:rPr>
          <w:color w:val="6E6158"/>
        </w:rPr>
        <w:t>7, </w:t>
      </w:r>
      <w:r>
        <w:rPr>
          <w:color w:val="6E6158"/>
          <w:spacing w:val="-4"/>
        </w:rPr>
        <w:t>2019</w:t>
      </w:r>
    </w:p>
    <w:p>
      <w:pPr>
        <w:pStyle w:val="BodyText"/>
        <w:spacing w:line="302" w:lineRule="auto" w:before="123"/>
        <w:ind w:right="777"/>
      </w:pPr>
      <w:r>
        <w:rPr>
          <w:color w:val="6E6158"/>
        </w:rPr>
        <w:t>Speaker, “Will History Repeat? Comparing and Contrasting Cyclical Real Estate </w:t>
      </w:r>
      <w:r>
        <w:rPr>
          <w:color w:val="6E6158"/>
        </w:rPr>
        <w:t>Lending Environments,” Wendel Rosen Client Seminar, May 2017</w:t>
      </w:r>
    </w:p>
    <w:p>
      <w:pPr>
        <w:pStyle w:val="BodyText"/>
        <w:spacing w:before="102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</w:pPr>
      <w:r>
        <w:rPr>
          <w:color w:val="6E6158"/>
        </w:rPr>
        <w:t>Volunteer</w:t>
      </w:r>
      <w:r>
        <w:rPr>
          <w:color w:val="6E6158"/>
          <w:spacing w:val="7"/>
        </w:rPr>
        <w:t> </w:t>
      </w:r>
      <w:r>
        <w:rPr>
          <w:color w:val="6E6158"/>
        </w:rPr>
        <w:t>Legal</w:t>
      </w:r>
      <w:r>
        <w:rPr>
          <w:color w:val="6E6158"/>
          <w:spacing w:val="8"/>
        </w:rPr>
        <w:t> </w:t>
      </w:r>
      <w:r>
        <w:rPr>
          <w:color w:val="6E6158"/>
        </w:rPr>
        <w:t>Advisor,</w:t>
      </w:r>
      <w:r>
        <w:rPr>
          <w:color w:val="6E6158"/>
          <w:spacing w:val="7"/>
        </w:rPr>
        <w:t> </w:t>
      </w:r>
      <w:r>
        <w:rPr>
          <w:color w:val="6E6158"/>
        </w:rPr>
        <w:t>Cartoon</w:t>
      </w:r>
      <w:r>
        <w:rPr>
          <w:color w:val="6E6158"/>
          <w:spacing w:val="8"/>
        </w:rPr>
        <w:t> </w:t>
      </w:r>
      <w:r>
        <w:rPr>
          <w:color w:val="6E6158"/>
        </w:rPr>
        <w:t>Art</w:t>
      </w:r>
      <w:r>
        <w:rPr>
          <w:color w:val="6E6158"/>
          <w:spacing w:val="7"/>
        </w:rPr>
        <w:t> </w:t>
      </w:r>
      <w:r>
        <w:rPr>
          <w:color w:val="6E6158"/>
        </w:rPr>
        <w:t>Museum,</w:t>
      </w:r>
      <w:r>
        <w:rPr>
          <w:color w:val="6E6158"/>
          <w:spacing w:val="8"/>
        </w:rPr>
        <w:t> </w:t>
      </w:r>
      <w:r>
        <w:rPr>
          <w:color w:val="6E6158"/>
        </w:rPr>
        <w:t>San</w:t>
      </w:r>
      <w:r>
        <w:rPr>
          <w:color w:val="6E6158"/>
          <w:spacing w:val="7"/>
        </w:rPr>
        <w:t> </w:t>
      </w:r>
      <w:r>
        <w:rPr>
          <w:color w:val="6E6158"/>
          <w:spacing w:val="-2"/>
        </w:rPr>
        <w:t>Francisco</w:t>
      </w:r>
    </w:p>
    <w:p>
      <w:pPr>
        <w:pStyle w:val="BodyText"/>
        <w:spacing w:line="422" w:lineRule="auto" w:before="174"/>
        <w:ind w:right="2369"/>
      </w:pPr>
      <w:r>
        <w:rPr>
          <w:color w:val="6E6158"/>
        </w:rPr>
        <w:t>Former Member, Board of Directors, Cartoon Art Museum, San Francisco</w:t>
      </w:r>
      <w:r>
        <w:rPr>
          <w:color w:val="6E6158"/>
          <w:spacing w:val="40"/>
        </w:rPr>
        <w:t> </w:t>
      </w:r>
      <w:r>
        <w:rPr>
          <w:color w:val="6E6158"/>
        </w:rPr>
        <w:t>Former Legal Advisor, Neighborhood Housing Services Silicon Valley, San Jose Lecturer, University of California, Berkeley, School of Law</w:t>
      </w:r>
    </w:p>
    <w:p>
      <w:pPr>
        <w:pStyle w:val="Heading2"/>
        <w:spacing w:before="282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  <w:spacing w:val="-2"/>
        </w:rPr>
        <w:t>California</w:t>
      </w:r>
    </w:p>
    <w:p>
      <w:pPr>
        <w:pStyle w:val="BodyText"/>
        <w:spacing w:line="302" w:lineRule="auto" w:before="174"/>
        <w:ind w:right="967"/>
      </w:pPr>
      <w:r>
        <w:rPr>
          <w:color w:val="6E6158"/>
        </w:rPr>
        <w:t>U.S. District and Bankruptcy Courts Northern, Southern, Central and Eastern Districts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13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Northern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Texas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11"/>
        </w:rPr>
        <w:t> </w:t>
      </w:r>
      <w:r>
        <w:rPr>
          <w:color w:val="6E6158"/>
        </w:rPr>
        <w:t>Ninth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District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oakland/" TargetMode="External"/><Relationship Id="rId10" Type="http://schemas.openxmlformats.org/officeDocument/2006/relationships/hyperlink" Target="mailto:smorger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Steven M. Morger - Fennemore</dc:title>
  <dcterms:created xsi:type="dcterms:W3CDTF">2026-06-12T10:08:38Z</dcterms:created>
  <dcterms:modified xsi:type="dcterms:W3CDTF">2026-06-12T10:08:38Z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