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5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848486</wp:posOffset>
                </wp:positionH>
                <wp:positionV relativeFrom="paragraph">
                  <wp:posOffset>-4558927</wp:posOffset>
                </wp:positionV>
                <wp:extent cx="6071870" cy="4591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91050"/>
                          <a:chExt cx="6071870" cy="4591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02105">
                                <a:moveTo>
                                  <a:pt x="6071591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ait Viskovic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7001" y="763308"/>
                            <a:ext cx="208661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TAIT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VISKOVICH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1859626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9362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947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2299" y="2226505"/>
                            <a:ext cx="1575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tviskovich@fennemorelaw.com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45667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99013" y="3482163"/>
                            <a:ext cx="34899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fools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something.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88688" y="3947221"/>
                            <a:ext cx="3105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Plato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45667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970703pt;width:478.1pt;height:361.5pt;mso-position-horizontal-relative:page;mso-position-vertical-relative:paragraph;z-index:-15798784" id="docshapegroup1" coordorigin="1336,-7179" coordsize="9562,7230">
                <v:rect style="position:absolute;left:1336;top:-2631;width:9562;height:2523" id="docshape2" filled="true" fillcolor="#002e6d" stroked="false">
                  <v:fill type="solid"/>
                </v:rect>
                <v:shape style="position:absolute;left:1336;top:-7180;width:2165;height:424" type="#_x0000_t75" id="docshape3" alt="Fennemore" href="https://www.fennemorelaw.com/" stroked="false">
                  <v:imagedata r:id="rId5" o:title=""/>
                </v:shape>
                <v:shape style="position:absolute;left:1336;top:-6757;width:4785;height:4126" type="#_x0000_t75" id="docshape4" alt="Tait Viskovich" stroked="false">
                  <v:imagedata r:id="rId7" o:title=""/>
                </v:shape>
                <v:rect style="position:absolute;left:6121;top:-6757;width:4777;height:4126" id="docshape5" filled="true" fillcolor="#262424" stroked="false">
                  <v:fill type="solid"/>
                </v:rect>
                <v:shape style="position:absolute;left:6877;top:-5023;width:3264;height:505" id="docshape6" coordorigin="6878,-5023" coordsize="3264,505" path="m10141,-4527l6878,-4527,6878,-4518,10141,-4518,10141,-4527xm10141,-5023l6878,-5023,6878,-5015,10141,-5015,10141,-502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4;top:-5978;width:3286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TAIT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VISKOVICH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51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3999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799;top:-3999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76;top:-3674;width:248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tviskovich@fennemorelaw.com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36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81;top:-1696;width:5496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speak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fools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something.</w:t>
                        </w:r>
                      </w:p>
                    </w:txbxContent>
                  </v:textbox>
                  <w10:wrap type="none"/>
                </v:shape>
                <v:shape style="position:absolute;left:5885;top:-964;width:489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Plato</w:t>
                        </w:r>
                      </w:p>
                    </w:txbxContent>
                  </v:textbox>
                  <w10:wrap type="none"/>
                </v:shape>
                <v:shape style="position:absolute;left:8985;top:-1736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TAIT</w:t>
      </w:r>
      <w:r>
        <w:rPr>
          <w:color w:val="FF8100"/>
          <w:spacing w:val="4"/>
        </w:rPr>
        <w:t> </w:t>
      </w:r>
      <w:r>
        <w:rPr>
          <w:color w:val="FF8100"/>
        </w:rPr>
        <w:t>J.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VISKOVICH</w:t>
      </w:r>
    </w:p>
    <w:p>
      <w:pPr>
        <w:pStyle w:val="BodyText"/>
        <w:spacing w:line="295" w:lineRule="auto" w:before="147"/>
        <w:ind w:left="99" w:right="154"/>
      </w:pPr>
      <w:r>
        <w:rPr>
          <w:color w:val="6E6158"/>
        </w:rPr>
        <w:t>Tait Viskovich is an associate in the Real Estate practice group in the firm’s San Bernardino office.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reputation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forward</w:t>
      </w:r>
      <w:r>
        <w:rPr>
          <w:color w:val="6E6158"/>
          <w:spacing w:val="28"/>
        </w:rPr>
        <w:t> </w:t>
      </w:r>
      <w:r>
        <w:rPr>
          <w:color w:val="6E6158"/>
        </w:rPr>
        <w:t>thinking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interested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intersections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business, real</w:t>
      </w:r>
      <w:r>
        <w:rPr>
          <w:color w:val="6E6158"/>
          <w:spacing w:val="31"/>
        </w:rPr>
        <w:t> </w:t>
      </w:r>
      <w:r>
        <w:rPr>
          <w:color w:val="6E6158"/>
        </w:rPr>
        <w:t>estate,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technology,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involves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aspects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acquisition,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leasing,</w:t>
      </w:r>
      <w:r>
        <w:rPr>
          <w:color w:val="6E6158"/>
          <w:spacing w:val="40"/>
        </w:rPr>
        <w:t> </w:t>
      </w:r>
      <w:r>
        <w:rPr>
          <w:color w:val="6E6158"/>
        </w:rPr>
        <w:t>ownership,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</w:p>
    <w:p>
      <w:pPr>
        <w:pStyle w:val="BodyText"/>
        <w:spacing w:before="9"/>
        <w:ind w:left="99"/>
      </w:pP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disposition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industrial,</w:t>
      </w:r>
      <w:r>
        <w:rPr>
          <w:color w:val="6E6158"/>
          <w:spacing w:val="14"/>
        </w:rPr>
        <w:t> </w:t>
      </w:r>
      <w:r>
        <w:rPr>
          <w:color w:val="6E6158"/>
        </w:rPr>
        <w:t>commercial,</w:t>
      </w:r>
      <w:r>
        <w:rPr>
          <w:color w:val="6E6158"/>
          <w:spacing w:val="15"/>
        </w:rPr>
        <w:t> </w:t>
      </w:r>
      <w:r>
        <w:rPr>
          <w:color w:val="6E6158"/>
        </w:rPr>
        <w:t>retail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office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properties.</w:t>
      </w:r>
    </w:p>
    <w:p>
      <w:pPr>
        <w:pStyle w:val="BodyText"/>
        <w:spacing w:before="14"/>
      </w:pPr>
    </w:p>
    <w:p>
      <w:pPr>
        <w:pStyle w:val="BodyText"/>
        <w:spacing w:line="292" w:lineRule="auto" w:before="1"/>
        <w:ind w:left="99" w:right="298"/>
      </w:pPr>
      <w:r>
        <w:rPr>
          <w:color w:val="6E6158"/>
        </w:rPr>
        <w:t>Tait assists clients with various land use matters including strategy, approvals, </w:t>
      </w:r>
      <w:r>
        <w:rPr>
          <w:color w:val="6E6158"/>
        </w:rPr>
        <w:t>zoning, amendments, and conditional use permits and variances.</w:t>
      </w:r>
    </w:p>
    <w:p>
      <w:pPr>
        <w:pStyle w:val="BodyText"/>
        <w:spacing w:line="297" w:lineRule="auto" w:before="196"/>
        <w:ind w:left="99" w:right="298"/>
      </w:pPr>
      <w:r>
        <w:rPr>
          <w:color w:val="6E6158"/>
        </w:rPr>
        <w:t>Tait was formerly a construction litigator and understands the complex nature of development</w:t>
      </w:r>
      <w:r>
        <w:rPr>
          <w:color w:val="6E6158"/>
          <w:spacing w:val="40"/>
        </w:rPr>
        <w:t> </w:t>
      </w:r>
      <w:r>
        <w:rPr>
          <w:color w:val="6E6158"/>
        </w:rPr>
        <w:t>from the ground up. This enables him to anticipate issues before they arise to better protect our</w:t>
      </w:r>
      <w:r>
        <w:rPr>
          <w:color w:val="6E6158"/>
          <w:spacing w:val="40"/>
        </w:rPr>
        <w:t> </w:t>
      </w:r>
      <w:r>
        <w:rPr>
          <w:color w:val="6E6158"/>
        </w:rPr>
        <w:t>clients throughout the development process.</w:t>
      </w:r>
    </w:p>
    <w:p>
      <w:pPr>
        <w:pStyle w:val="BodyText"/>
        <w:spacing w:line="420" w:lineRule="auto" w:before="191"/>
        <w:ind w:left="99" w:right="7265"/>
      </w:pPr>
      <w:r>
        <w:rPr>
          <w:color w:val="6E6158"/>
        </w:rPr>
        <w:t>Real Estate Advanced </w:t>
      </w:r>
      <w:r>
        <w:rPr>
          <w:color w:val="6E6158"/>
        </w:rPr>
        <w:t>Energy</w:t>
      </w:r>
    </w:p>
    <w:p>
      <w:pPr>
        <w:pStyle w:val="Heading2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298"/>
      </w:pPr>
      <w:r>
        <w:rPr>
          <w:color w:val="6E6158"/>
        </w:rPr>
        <w:t>J.D., University of Southern California Gould School of Law, Graduate Certificate in Business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B.A., Political Science, University of California, Riverside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3"/>
        <w:ind w:left="99"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before="111"/>
        <w:ind w:left="99"/>
      </w:pPr>
      <w:r>
        <w:rPr>
          <w:color w:val="6E6158"/>
        </w:rPr>
        <w:t>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 w:before="1"/>
        <w:ind w:left="99" w:right="298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Power Plays: Navigating Zoning and Utility Challenges in Solar, Battery Energy </w:t>
        </w:r>
        <w:r>
          <w:rPr>
            <w:color w:val="F5821F"/>
          </w:rPr>
          <w:t>Storage,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Data Center Projects</w:t>
        </w:r>
      </w:hyperlink>
      <w:r>
        <w:rPr>
          <w:color w:val="6E6158"/>
        </w:rPr>
        <w:t>,” San Diego Business Journal, May 18, 2025</w:t>
      </w:r>
    </w:p>
    <w:p>
      <w:pPr>
        <w:pStyle w:val="BodyText"/>
        <w:spacing w:before="10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Land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Zoning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tviskovich@fennemorelaw.com" TargetMode="External"/><Relationship Id="rId11" Type="http://schemas.openxmlformats.org/officeDocument/2006/relationships/hyperlink" Target="https://www.sdbj.com/branded-content/power-plays-navigating-zoning-and-utility-challenges-in-solar-battery-energy-storage-and-data-center-projec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Tait J. Viskovich - Fennemore</dc:title>
  <dcterms:created xsi:type="dcterms:W3CDTF">2026-06-12T10:10:09Z</dcterms:created>
  <dcterms:modified xsi:type="dcterms:W3CDTF">2026-06-12T10:10:09Z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