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Todd Lowell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TODD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LOWELL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707.432.4412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707.207.7955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707.432.4412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707.207.7955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tlowell@fennemorelaw.com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NEW26 Todd Lowell bio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TODD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LOWELL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707.432.4412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707.207.7955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707.432.4412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707.207.7955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tlowell@fennemorelaw.com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6"/>
      </w:pPr>
      <w:r>
        <w:rPr>
          <w:color w:val="FF8100"/>
        </w:rPr>
        <w:t>TODD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LOWELL</w:t>
      </w:r>
    </w:p>
    <w:p>
      <w:pPr>
        <w:pStyle w:val="BodyText"/>
        <w:spacing w:line="295" w:lineRule="auto" w:before="146"/>
        <w:ind w:left="99" w:right="560"/>
      </w:pPr>
      <w:r>
        <w:rPr>
          <w:color w:val="6E6158"/>
        </w:rPr>
        <w:t>Todd</w:t>
      </w:r>
      <w:r>
        <w:rPr>
          <w:color w:val="6E6158"/>
          <w:spacing w:val="27"/>
        </w:rPr>
        <w:t> </w:t>
      </w:r>
      <w:r>
        <w:rPr>
          <w:color w:val="6E6158"/>
        </w:rPr>
        <w:t>Lowell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Sacramento</w:t>
      </w:r>
      <w:r>
        <w:rPr>
          <w:color w:val="6E6158"/>
          <w:spacing w:val="27"/>
        </w:rPr>
        <w:t> </w:t>
      </w:r>
      <w:r>
        <w:rPr>
          <w:color w:val="6E6158"/>
        </w:rPr>
        <w:t>Office</w:t>
      </w:r>
      <w:r>
        <w:rPr>
          <w:color w:val="6E6158"/>
          <w:spacing w:val="27"/>
        </w:rPr>
        <w:t> </w:t>
      </w:r>
      <w:r>
        <w:rPr>
          <w:color w:val="6E6158"/>
        </w:rPr>
        <w:t>working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Fennemore’s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group. He advises clients on a wide range of real estate, development, finance, construction, and</w:t>
      </w:r>
      <w:r>
        <w:rPr>
          <w:color w:val="6E6158"/>
          <w:spacing w:val="40"/>
        </w:rPr>
        <w:t> </w:t>
      </w:r>
      <w:r>
        <w:rPr>
          <w:color w:val="6E6158"/>
        </w:rPr>
        <w:t>business matters. His practice focuses on helping small businesses, developers, property owners,</w:t>
      </w:r>
      <w:r>
        <w:rPr>
          <w:color w:val="6E6158"/>
          <w:spacing w:val="40"/>
        </w:rPr>
        <w:t> </w:t>
      </w:r>
      <w:r>
        <w:rPr>
          <w:color w:val="6E6158"/>
        </w:rPr>
        <w:t>and businesses navigate complex transactions, regulatory requirements, and project </w:t>
      </w:r>
      <w:r>
        <w:rPr>
          <w:color w:val="6E6158"/>
        </w:rPr>
        <w:t>challenges</w:t>
      </w:r>
      <w:r>
        <w:rPr>
          <w:color w:val="6E6158"/>
          <w:spacing w:val="40"/>
        </w:rPr>
        <w:t> </w:t>
      </w:r>
      <w:r>
        <w:rPr>
          <w:color w:val="6E6158"/>
        </w:rPr>
        <w:t>across California.</w:t>
      </w:r>
    </w:p>
    <w:p>
      <w:pPr>
        <w:pStyle w:val="BodyText"/>
        <w:spacing w:line="297" w:lineRule="auto" w:before="195"/>
        <w:ind w:left="99" w:right="753"/>
      </w:pPr>
      <w:r>
        <w:rPr>
          <w:color w:val="6E6158"/>
        </w:rPr>
        <w:t>Todd began his legal career more than 30 years ago in civil litigation before transitioning to real</w:t>
      </w:r>
      <w:r>
        <w:rPr>
          <w:color w:val="6E6158"/>
          <w:spacing w:val="40"/>
        </w:rPr>
        <w:t> </w:t>
      </w:r>
      <w:r>
        <w:rPr>
          <w:color w:val="6E6158"/>
        </w:rPr>
        <w:t>estate and construction law. His experience spans both legal and business perspectives,</w:t>
      </w:r>
      <w:r>
        <w:rPr>
          <w:color w:val="6E6158"/>
          <w:spacing w:val="80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managing</w:t>
      </w:r>
      <w:r>
        <w:rPr>
          <w:color w:val="6E6158"/>
          <w:spacing w:val="38"/>
        </w:rPr>
        <w:t> </w:t>
      </w:r>
      <w:r>
        <w:rPr>
          <w:color w:val="6E6158"/>
        </w:rPr>
        <w:t>development</w:t>
      </w:r>
      <w:r>
        <w:rPr>
          <w:color w:val="6E6158"/>
          <w:spacing w:val="38"/>
        </w:rPr>
        <w:t> </w:t>
      </w:r>
      <w:r>
        <w:rPr>
          <w:color w:val="6E6158"/>
        </w:rPr>
        <w:t>projects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working</w:t>
      </w:r>
      <w:r>
        <w:rPr>
          <w:color w:val="6E6158"/>
          <w:spacing w:val="38"/>
        </w:rPr>
        <w:t> </w:t>
      </w:r>
      <w:r>
        <w:rPr>
          <w:color w:val="6E6158"/>
        </w:rPr>
        <w:t>through</w:t>
      </w:r>
      <w:r>
        <w:rPr>
          <w:color w:val="6E6158"/>
          <w:spacing w:val="38"/>
        </w:rPr>
        <w:t> </w:t>
      </w:r>
      <w:r>
        <w:rPr>
          <w:color w:val="6E6158"/>
        </w:rPr>
        <w:t>land</w:t>
      </w:r>
      <w:r>
        <w:rPr>
          <w:color w:val="6E6158"/>
          <w:spacing w:val="38"/>
        </w:rPr>
        <w:t> </w:t>
      </w:r>
      <w:r>
        <w:rPr>
          <w:color w:val="6E6158"/>
        </w:rPr>
        <w:t>use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regulatory</w:t>
      </w:r>
    </w:p>
    <w:p>
      <w:pPr>
        <w:pStyle w:val="BodyText"/>
        <w:spacing w:line="292" w:lineRule="auto"/>
        <w:ind w:left="99" w:right="560"/>
      </w:pPr>
      <w:r>
        <w:rPr>
          <w:color w:val="6E6158"/>
        </w:rPr>
        <w:t>processes. This background allows him to provide practical, solutions-oriented counsel that </w:t>
      </w:r>
      <w:r>
        <w:rPr>
          <w:color w:val="6E6158"/>
        </w:rPr>
        <w:t>aligns</w:t>
      </w:r>
      <w:r>
        <w:rPr>
          <w:color w:val="6E6158"/>
          <w:spacing w:val="40"/>
        </w:rPr>
        <w:t> </w:t>
      </w:r>
      <w:r>
        <w:rPr>
          <w:color w:val="6E6158"/>
        </w:rPr>
        <w:t>with his clients’ goals.</w:t>
      </w:r>
    </w:p>
    <w:p>
      <w:pPr>
        <w:pStyle w:val="BodyText"/>
        <w:spacing w:line="292" w:lineRule="auto" w:before="201"/>
        <w:ind w:left="99" w:right="487"/>
        <w:jc w:val="both"/>
      </w:pPr>
      <w:r>
        <w:rPr>
          <w:color w:val="6E6158"/>
        </w:rPr>
        <w:t>Having spent much of his life along the Interstate 80 corridor—from growing up in Nevada City to working in San Francisco—Todd brings a strong understanding of Northern California’s real estate landscape.</w:t>
      </w:r>
      <w:r>
        <w:rPr>
          <w:color w:val="6E6158"/>
          <w:spacing w:val="80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early</w:t>
      </w:r>
      <w:r>
        <w:rPr>
          <w:color w:val="6E6158"/>
          <w:spacing w:val="29"/>
        </w:rPr>
        <w:t> </w:t>
      </w:r>
      <w:r>
        <w:rPr>
          <w:color w:val="6E6158"/>
        </w:rPr>
        <w:t>work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carrying</w:t>
      </w:r>
      <w:r>
        <w:rPr>
          <w:color w:val="6E6158"/>
          <w:spacing w:val="29"/>
        </w:rPr>
        <w:t> </w:t>
      </w:r>
      <w:r>
        <w:rPr>
          <w:color w:val="6E6158"/>
        </w:rPr>
        <w:t>tool</w:t>
      </w:r>
      <w:r>
        <w:rPr>
          <w:color w:val="6E6158"/>
          <w:spacing w:val="29"/>
        </w:rPr>
        <w:t> </w:t>
      </w:r>
      <w:r>
        <w:rPr>
          <w:color w:val="6E6158"/>
        </w:rPr>
        <w:t>bags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construction</w:t>
      </w:r>
      <w:r>
        <w:rPr>
          <w:color w:val="6E6158"/>
          <w:spacing w:val="29"/>
        </w:rPr>
        <w:t> </w:t>
      </w:r>
      <w:r>
        <w:rPr>
          <w:color w:val="6E6158"/>
        </w:rPr>
        <w:t>jobs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driving</w:t>
      </w:r>
    </w:p>
    <w:p>
      <w:pPr>
        <w:pStyle w:val="BodyText"/>
        <w:spacing w:line="292" w:lineRule="auto" w:before="10"/>
        <w:ind w:left="99" w:right="502"/>
        <w:jc w:val="both"/>
      </w:pPr>
      <w:r>
        <w:rPr>
          <w:color w:val="6E6158"/>
        </w:rPr>
        <w:t>tomato</w:t>
      </w:r>
      <w:r>
        <w:rPr>
          <w:color w:val="6E6158"/>
          <w:spacing w:val="13"/>
        </w:rPr>
        <w:t> </w:t>
      </w:r>
      <w:r>
        <w:rPr>
          <w:color w:val="6E6158"/>
        </w:rPr>
        <w:t>trucks</w:t>
      </w:r>
      <w:r>
        <w:rPr>
          <w:color w:val="6E6158"/>
          <w:spacing w:val="13"/>
        </w:rPr>
        <w:t> </w:t>
      </w:r>
      <w:r>
        <w:rPr>
          <w:color w:val="6E6158"/>
        </w:rPr>
        <w:t>through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Central</w:t>
      </w:r>
      <w:r>
        <w:rPr>
          <w:color w:val="6E6158"/>
          <w:spacing w:val="13"/>
        </w:rPr>
        <w:t> </w:t>
      </w:r>
      <w:r>
        <w:rPr>
          <w:color w:val="6E6158"/>
        </w:rPr>
        <w:t>Valley,</w:t>
      </w:r>
      <w:r>
        <w:rPr>
          <w:color w:val="6E6158"/>
          <w:spacing w:val="13"/>
        </w:rPr>
        <w:t> </w:t>
      </w:r>
      <w:r>
        <w:rPr>
          <w:color w:val="6E6158"/>
        </w:rPr>
        <w:t>he</w:t>
      </w:r>
      <w:r>
        <w:rPr>
          <w:color w:val="6E6158"/>
          <w:spacing w:val="13"/>
        </w:rPr>
        <w:t> </w:t>
      </w:r>
      <w:r>
        <w:rPr>
          <w:color w:val="6E6158"/>
        </w:rPr>
        <w:t>developed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deep</w:t>
      </w:r>
      <w:r>
        <w:rPr>
          <w:color w:val="6E6158"/>
          <w:spacing w:val="13"/>
        </w:rPr>
        <w:t> </w:t>
      </w:r>
      <w:r>
        <w:rPr>
          <w:color w:val="6E6158"/>
        </w:rPr>
        <w:t>appreciation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region</w:t>
      </w:r>
      <w:r>
        <w:rPr>
          <w:color w:val="6E6158"/>
          <w:spacing w:val="13"/>
        </w:rPr>
        <w:t> </w:t>
      </w:r>
      <w:r>
        <w:rPr>
          <w:color w:val="6E6158"/>
        </w:rPr>
        <w:t>and a strong work ethic that continues to shape his approach today.</w:t>
      </w:r>
    </w:p>
    <w:p>
      <w:pPr>
        <w:pStyle w:val="BodyText"/>
        <w:spacing w:line="292" w:lineRule="auto" w:before="196"/>
        <w:ind w:left="99" w:right="560"/>
      </w:pPr>
      <w:r>
        <w:rPr>
          <w:color w:val="6E6158"/>
        </w:rPr>
        <w:t>Todd has been actively involved in his community and values building long-term relationships. He</w:t>
      </w:r>
      <w:r>
        <w:rPr>
          <w:color w:val="6E6158"/>
          <w:spacing w:val="40"/>
        </w:rPr>
        <w:t> </w:t>
      </w:r>
      <w:r>
        <w:rPr>
          <w:color w:val="6E6158"/>
        </w:rPr>
        <w:t>served for 16 years as an elected school board member, including eight years as board</w:t>
      </w:r>
    </w:p>
    <w:p>
      <w:pPr>
        <w:pStyle w:val="BodyText"/>
        <w:spacing w:line="292" w:lineRule="auto" w:before="10"/>
        <w:ind w:left="99" w:right="753"/>
      </w:pPr>
      <w:r>
        <w:rPr>
          <w:color w:val="6E6158"/>
        </w:rPr>
        <w:t>president. He is currently a member of the Roseville Rotary Club and serves on the board of a</w:t>
      </w:r>
      <w:r>
        <w:rPr>
          <w:color w:val="6E6158"/>
          <w:spacing w:val="40"/>
        </w:rPr>
        <w:t> </w:t>
      </w:r>
      <w:r>
        <w:rPr>
          <w:color w:val="6E6158"/>
        </w:rPr>
        <w:t>local</w:t>
      </w:r>
      <w:r>
        <w:rPr>
          <w:color w:val="6E6158"/>
          <w:spacing w:val="23"/>
        </w:rPr>
        <w:t> </w:t>
      </w:r>
      <w:r>
        <w:rPr>
          <w:color w:val="6E6158"/>
        </w:rPr>
        <w:t>historical</w:t>
      </w:r>
      <w:r>
        <w:rPr>
          <w:color w:val="6E6158"/>
          <w:spacing w:val="23"/>
        </w:rPr>
        <w:t> </w:t>
      </w:r>
      <w:r>
        <w:rPr>
          <w:color w:val="6E6158"/>
        </w:rPr>
        <w:t>foundation,</w:t>
      </w:r>
      <w:r>
        <w:rPr>
          <w:color w:val="6E6158"/>
          <w:spacing w:val="23"/>
        </w:rPr>
        <w:t> </w:t>
      </w:r>
      <w:r>
        <w:rPr>
          <w:color w:val="6E6158"/>
        </w:rPr>
        <w:t>reflecting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ongoing</w:t>
      </w:r>
      <w:r>
        <w:rPr>
          <w:color w:val="6E6158"/>
          <w:spacing w:val="23"/>
        </w:rPr>
        <w:t> </w:t>
      </w:r>
      <w:r>
        <w:rPr>
          <w:color w:val="6E6158"/>
        </w:rPr>
        <w:t>commitment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communities</w:t>
      </w:r>
      <w:r>
        <w:rPr>
          <w:color w:val="6E6158"/>
          <w:spacing w:val="23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serves.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3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64557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3307pt;width:1.65pt;height:1.65pt;mso-position-horizontal-relative:page;mso-position-vertical-relative:paragraph;z-index:15729152" id="docshape7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322923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705pt;width:1.65pt;height:1.65pt;mso-position-horizontal-relative:page;mso-position-vertical-relative:paragraph;z-index:15729664" id="docshape8" coordorigin="1670,509" coordsize="33,33" path="m1691,541l1682,541,1678,540,1671,533,1670,529,1670,520,1671,516,1678,510,1682,509,1691,509,1694,510,1701,516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McGeorge School of Law, University of the </w:t>
      </w:r>
      <w:r>
        <w:rPr>
          <w:color w:val="6E6158"/>
        </w:rPr>
        <w:t>Pacific</w:t>
      </w:r>
      <w:r>
        <w:rPr>
          <w:color w:val="6E6158"/>
        </w:rPr>
        <w:t> B.A., University of California, Davis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2"/>
        <w:spacing w:before="147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  <w:ind w:right="6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152731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098pt;width:1.65pt;height:1.65pt;mso-position-horizontal-relative:page;mso-position-vertical-relative:paragraph;z-index:15730688" id="docshape10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Bay Area office developer with a multi-county portfolio regarding leasing matters</w:t>
      </w:r>
      <w:r>
        <w:rPr>
          <w:color w:val="6E6158"/>
          <w:spacing w:val="40"/>
        </w:rPr>
        <w:t> </w:t>
      </w:r>
      <w:r>
        <w:rPr>
          <w:color w:val="6E6158"/>
        </w:rPr>
        <w:t>and asset sales.</w:t>
      </w:r>
    </w:p>
    <w:p>
      <w:pPr>
        <w:pStyle w:val="BodyText"/>
        <w:spacing w:line="292" w:lineRule="auto" w:before="124"/>
        <w:ind w:right="5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231014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0117pt;width:1.65pt;height:1.65pt;mso-position-horizontal-relative:page;mso-position-vertical-relative:paragraph;z-index:15731200" id="docshape11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family in the sale of a 2,200 acre ranch which involved water rights allocations</w:t>
      </w:r>
      <w:r>
        <w:rPr>
          <w:color w:val="6E6158"/>
          <w:spacing w:val="40"/>
        </w:rPr>
        <w:t> </w:t>
      </w:r>
      <w:r>
        <w:rPr>
          <w:color w:val="6E6158"/>
        </w:rPr>
        <w:t>and a lease-back to be able to continue the ranch operation.</w:t>
      </w:r>
    </w:p>
    <w:p>
      <w:pPr>
        <w:pStyle w:val="BodyText"/>
        <w:spacing w:line="292" w:lineRule="auto" w:before="131"/>
        <w:ind w:right="8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235724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978pt;width:1.65pt;height:1.65pt;mso-position-horizontal-relative:page;mso-position-vertical-relative:paragraph;z-index:15731712" id="docshape12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family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sale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property</w:t>
      </w:r>
      <w:r>
        <w:rPr>
          <w:color w:val="6E6158"/>
          <w:spacing w:val="11"/>
        </w:rPr>
        <w:t> </w:t>
      </w:r>
      <w:r>
        <w:rPr>
          <w:color w:val="6E6158"/>
        </w:rPr>
        <w:t>they</w:t>
      </w:r>
      <w:r>
        <w:rPr>
          <w:color w:val="6E6158"/>
          <w:spacing w:val="11"/>
        </w:rPr>
        <w:t> </w:t>
      </w:r>
      <w:r>
        <w:rPr>
          <w:color w:val="6E6158"/>
        </w:rPr>
        <w:t>had</w:t>
      </w:r>
      <w:r>
        <w:rPr>
          <w:color w:val="6E6158"/>
          <w:spacing w:val="11"/>
        </w:rPr>
        <w:t> </w:t>
      </w:r>
      <w:r>
        <w:rPr>
          <w:color w:val="6E6158"/>
        </w:rPr>
        <w:t>owned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nearly</w:t>
      </w:r>
      <w:r>
        <w:rPr>
          <w:color w:val="6E6158"/>
          <w:spacing w:val="11"/>
        </w:rPr>
        <w:t> </w:t>
      </w:r>
      <w:r>
        <w:rPr>
          <w:color w:val="6E6158"/>
        </w:rPr>
        <w:t>100</w:t>
      </w:r>
      <w:r>
        <w:rPr>
          <w:color w:val="6E6158"/>
          <w:spacing w:val="11"/>
        </w:rPr>
        <w:t> </w:t>
      </w:r>
      <w:r>
        <w:rPr>
          <w:color w:val="6E6158"/>
        </w:rPr>
        <w:t>years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seller-financing transaction.</w:t>
      </w:r>
    </w:p>
    <w:p>
      <w:pPr>
        <w:pStyle w:val="BodyText"/>
        <w:spacing w:line="292" w:lineRule="auto" w:before="123"/>
        <w:ind w:right="5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230821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4908pt;width:1.65pt;height:1.65pt;mso-position-horizontal-relative:page;mso-position-vertical-relative:paragraph;z-index:15732224" id="docshape13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a senior-living developer in the acquisition and financing of multiple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sites across northern California</w:t>
      </w:r>
    </w:p>
    <w:p>
      <w:pPr>
        <w:pStyle w:val="BodyText"/>
        <w:spacing w:line="292" w:lineRule="auto" w:before="132"/>
        <w:ind w:right="5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236166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772pt;width:1.65pt;height:1.65pt;mso-position-horizontal-relative:page;mso-position-vertical-relative:paragraph;z-index:15732736" id="docshape14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the seller in a more than $30 million transaction acquire multiple </w:t>
      </w:r>
      <w:r>
        <w:rPr>
          <w:color w:val="6E6158"/>
        </w:rPr>
        <w:t>replacement properties through 1031 exchanges.</w:t>
      </w:r>
    </w:p>
    <w:p>
      <w:pPr>
        <w:pStyle w:val="BodyText"/>
        <w:spacing w:line="302" w:lineRule="auto" w:before="123"/>
        <w:ind w:right="5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235796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647pt;width:1.65pt;height:1.65pt;mso-position-horizontal-relative:page;mso-position-vertical-relative:paragraph;z-index:15733248" id="docshape1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Solano-Napa Habitat for Humanity in its mission to create owner-occupied </w:t>
      </w:r>
      <w:r>
        <w:rPr>
          <w:color w:val="6E6158"/>
        </w:rPr>
        <w:t>housing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families</w:t>
      </w:r>
      <w:r>
        <w:rPr>
          <w:color w:val="6E6158"/>
          <w:spacing w:val="28"/>
        </w:rPr>
        <w:t> </w:t>
      </w:r>
      <w:r>
        <w:rPr>
          <w:color w:val="6E6158"/>
        </w:rPr>
        <w:t>who</w:t>
      </w:r>
      <w:r>
        <w:rPr>
          <w:color w:val="6E6158"/>
          <w:spacing w:val="28"/>
        </w:rPr>
        <w:t> </w:t>
      </w:r>
      <w:r>
        <w:rPr>
          <w:color w:val="6E6158"/>
        </w:rPr>
        <w:t>otherwise</w:t>
      </w:r>
      <w:r>
        <w:rPr>
          <w:color w:val="6E6158"/>
          <w:spacing w:val="28"/>
        </w:rPr>
        <w:t> </w:t>
      </w:r>
      <w:r>
        <w:rPr>
          <w:color w:val="6E6158"/>
        </w:rPr>
        <w:t>would</w:t>
      </w:r>
      <w:r>
        <w:rPr>
          <w:color w:val="6E6158"/>
          <w:spacing w:val="28"/>
        </w:rPr>
        <w:t> </w:t>
      </w:r>
      <w:r>
        <w:rPr>
          <w:color w:val="6E6158"/>
        </w:rPr>
        <w:t>not</w:t>
      </w:r>
      <w:r>
        <w:rPr>
          <w:color w:val="6E6158"/>
          <w:spacing w:val="28"/>
        </w:rPr>
        <w:t> </w:t>
      </w:r>
      <w:r>
        <w:rPr>
          <w:color w:val="6E6158"/>
        </w:rPr>
        <w:t>have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opportunity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own</w:t>
      </w:r>
      <w:r>
        <w:rPr>
          <w:color w:val="6E6158"/>
          <w:spacing w:val="28"/>
        </w:rPr>
        <w:t> </w:t>
      </w:r>
      <w:r>
        <w:rPr>
          <w:color w:val="6E6158"/>
        </w:rPr>
        <w:t>their</w:t>
      </w:r>
      <w:r>
        <w:rPr>
          <w:color w:val="6E6158"/>
          <w:spacing w:val="28"/>
        </w:rPr>
        <w:t> </w:t>
      </w:r>
      <w:r>
        <w:rPr>
          <w:color w:val="6E6158"/>
        </w:rPr>
        <w:t>own</w:t>
      </w:r>
      <w:r>
        <w:rPr>
          <w:color w:val="6E6158"/>
          <w:spacing w:val="28"/>
        </w:rPr>
        <w:t> </w:t>
      </w:r>
      <w:r>
        <w:rPr>
          <w:color w:val="6E6158"/>
        </w:rPr>
        <w:t>home.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131127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4997pt;width:1.65pt;height:1.65pt;mso-position-horizontal-relative:page;mso-position-vertical-relative:paragraph;z-index:15733760" id="docshape16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landowner</w:t>
      </w:r>
      <w:r>
        <w:rPr>
          <w:color w:val="6E6158"/>
          <w:spacing w:val="10"/>
        </w:rPr>
        <w:t> </w:t>
      </w:r>
      <w:r>
        <w:rPr>
          <w:color w:val="6E6158"/>
        </w:rPr>
        <w:t>regarding</w:t>
      </w:r>
      <w:r>
        <w:rPr>
          <w:color w:val="6E6158"/>
          <w:spacing w:val="11"/>
        </w:rPr>
        <w:t> </w:t>
      </w:r>
      <w:r>
        <w:rPr>
          <w:color w:val="6E6158"/>
        </w:rPr>
        <w:t>title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roads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0"/>
        </w:rPr>
        <w:t> </w:t>
      </w:r>
      <w:r>
        <w:rPr>
          <w:color w:val="6E6158"/>
        </w:rPr>
        <w:t>were</w:t>
      </w:r>
      <w:r>
        <w:rPr>
          <w:color w:val="6E6158"/>
          <w:spacing w:val="11"/>
        </w:rPr>
        <w:t> </w:t>
      </w:r>
      <w:r>
        <w:rPr>
          <w:color w:val="6E6158"/>
        </w:rPr>
        <w:t>created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1860s.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262823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479pt;width:1.65pt;height:1.65pt;mso-position-horizontal-relative:page;mso-position-vertical-relative:paragraph;z-index:15734272" id="docshape17" coordorigin="1670,414" coordsize="33,33" path="m1691,446l1682,446,1678,445,1671,439,1670,435,1670,426,1671,422,1678,415,1682,414,1691,414,1694,415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ground lease tenant to obtain a Temporary Restraining Order and Preliminary</w:t>
      </w:r>
      <w:r>
        <w:rPr>
          <w:color w:val="6E6158"/>
          <w:spacing w:val="40"/>
        </w:rPr>
        <w:t> </w:t>
      </w:r>
      <w:r>
        <w:rPr>
          <w:color w:val="6E6158"/>
        </w:rPr>
        <w:t>Injunction when the landlord was interfering with construction</w:t>
      </w:r>
    </w:p>
    <w:p>
      <w:pPr>
        <w:pStyle w:val="BodyText"/>
        <w:spacing w:before="20"/>
        <w:ind w:left="0"/>
      </w:pPr>
    </w:p>
    <w:p>
      <w:pPr>
        <w:pStyle w:val="Heading2"/>
      </w:pPr>
      <w:r>
        <w:rPr>
          <w:color w:val="6E6158"/>
        </w:rPr>
        <w:t>Land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  <w:ind w:right="74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152797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1311pt;width:1.65pt;height:1.65pt;mso-position-horizontal-relative:page;mso-position-vertical-relative:paragraph;z-index:15734784" id="docshape18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multi-family developer to obtain project entitlements under the then newly amended</w:t>
      </w:r>
      <w:r>
        <w:rPr>
          <w:color w:val="6E6158"/>
          <w:spacing w:val="13"/>
        </w:rPr>
        <w:t> </w:t>
      </w:r>
      <w:r>
        <w:rPr>
          <w:color w:val="6E6158"/>
        </w:rPr>
        <w:t>Housing</w:t>
      </w:r>
      <w:r>
        <w:rPr>
          <w:color w:val="6E6158"/>
          <w:spacing w:val="14"/>
        </w:rPr>
        <w:t> </w:t>
      </w:r>
      <w:r>
        <w:rPr>
          <w:color w:val="6E6158"/>
        </w:rPr>
        <w:t>Accountabilty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3"/>
        </w:rPr>
        <w:t> </w:t>
      </w:r>
      <w:r>
        <w:rPr>
          <w:color w:val="6E6158"/>
        </w:rPr>
        <w:t>when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site’s</w:t>
      </w:r>
      <w:r>
        <w:rPr>
          <w:color w:val="6E6158"/>
          <w:spacing w:val="14"/>
        </w:rPr>
        <w:t> </w:t>
      </w:r>
      <w:r>
        <w:rPr>
          <w:color w:val="6E6158"/>
        </w:rPr>
        <w:t>zoning</w:t>
      </w:r>
      <w:r>
        <w:rPr>
          <w:color w:val="6E6158"/>
          <w:spacing w:val="13"/>
        </w:rPr>
        <w:t> </w:t>
      </w:r>
      <w:r>
        <w:rPr>
          <w:color w:val="6E6158"/>
        </w:rPr>
        <w:t>did</w:t>
      </w:r>
      <w:r>
        <w:rPr>
          <w:color w:val="6E6158"/>
          <w:spacing w:val="14"/>
        </w:rPr>
        <w:t> </w:t>
      </w:r>
      <w:r>
        <w:rPr>
          <w:color w:val="6E6158"/>
        </w:rPr>
        <w:t>not</w:t>
      </w:r>
      <w:r>
        <w:rPr>
          <w:color w:val="6E6158"/>
          <w:spacing w:val="14"/>
        </w:rPr>
        <w:t> </w:t>
      </w:r>
      <w:r>
        <w:rPr>
          <w:color w:val="6E6158"/>
        </w:rPr>
        <w:t>permit</w:t>
      </w:r>
      <w:r>
        <w:rPr>
          <w:color w:val="6E6158"/>
          <w:spacing w:val="14"/>
        </w:rPr>
        <w:t> </w:t>
      </w:r>
      <w:r>
        <w:rPr>
          <w:color w:val="6E6158"/>
        </w:rPr>
        <w:t>multi-family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use.</w:t>
      </w:r>
    </w:p>
    <w:p>
      <w:pPr>
        <w:pStyle w:val="BodyText"/>
        <w:spacing w:line="297" w:lineRule="auto" w:before="124"/>
        <w:ind w:right="57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324090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8965pt;width:1.65pt;height:1.65pt;mso-position-horizontal-relative:page;mso-position-vertical-relative:paragraph;z-index:15735296" id="docshape19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clients before local staff, planning commissions and city councils/county boards of supervisors to process and obtain land use entitlements, including general plan amendment, rezoning, conditional use permits, tentative maps and parcel maps.</w:t>
      </w:r>
    </w:p>
    <w:p>
      <w:pPr>
        <w:pStyle w:val="BodyText"/>
        <w:spacing w:before="7"/>
        <w:ind w:left="0"/>
      </w:pPr>
    </w:p>
    <w:p>
      <w:pPr>
        <w:pStyle w:val="Heading2"/>
      </w:pP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302" w:lineRule="auto"/>
        <w:ind w:right="5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157736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0176pt;width:1.65pt;height:1.65pt;mso-position-horizontal-relative:page;mso-position-vertical-relative:paragraph;z-index:15735808" id="docshape2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a developer to close out of state financing for the construction of condominiums in</w:t>
      </w:r>
      <w:r>
        <w:rPr>
          <w:color w:val="6E6158"/>
          <w:spacing w:val="40"/>
        </w:rPr>
        <w:t> </w:t>
      </w:r>
      <w:r>
        <w:rPr>
          <w:color w:val="6E6158"/>
        </w:rPr>
        <w:t>South Lake Tahoe.</w:t>
      </w:r>
    </w:p>
    <w:p>
      <w:pPr>
        <w:pStyle w:val="BodyText"/>
        <w:spacing w:line="292" w:lineRule="auto" w:before="113"/>
        <w:ind w:right="5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224185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239pt;width:1.65pt;height:1.65pt;mso-position-horizontal-relative:page;mso-position-vertical-relative:paragraph;z-index:15736320" id="docshape2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an LLC consisting of 24 members in a transaction where 20 of the members were</w:t>
      </w:r>
      <w:r>
        <w:rPr>
          <w:color w:val="6E6158"/>
          <w:spacing w:val="40"/>
        </w:rPr>
        <w:t> </w:t>
      </w:r>
      <w:r>
        <w:rPr>
          <w:color w:val="6E6158"/>
        </w:rPr>
        <w:t>selling their respective interests to a single buyer.</w:t>
      </w:r>
    </w:p>
    <w:p>
      <w:pPr>
        <w:pStyle w:val="BodyText"/>
        <w:spacing w:line="292" w:lineRule="auto" w:before="131"/>
        <w:ind w:right="5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235879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172pt;width:1.65pt;height:1.65pt;mso-position-horizontal-relative:page;mso-position-vertical-relative:paragraph;z-index:15736832" id="docshape2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buyers and sellers, respectively, in the sales of businesses, such as restaurants, gas</w:t>
      </w:r>
      <w:r>
        <w:rPr>
          <w:color w:val="6E6158"/>
          <w:spacing w:val="40"/>
        </w:rPr>
        <w:t> </w:t>
      </w:r>
      <w:r>
        <w:rPr>
          <w:color w:val="6E6158"/>
        </w:rPr>
        <w:t>stations, a record store and professional service companies.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14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64833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497pt;width:1.65pt;height:1.65pt;mso-position-horizontal-relative:page;mso-position-vertical-relative:paragraph;z-index:15737344" id="docshape23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323198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8713pt;width:1.65pt;height:1.65pt;mso-position-horizontal-relative:page;mso-position-vertical-relative:paragraph;z-index:15737856" id="docshape24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Outstanding Trustee of the Year, Placer County School Boards Association, </w:t>
      </w:r>
      <w:r>
        <w:rPr>
          <w:color w:val="6E6158"/>
        </w:rPr>
        <w:t>2010 Finalist, Best Oralist, Moot Court Competition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63823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488pt;width:1.65pt;height:1.65pt;mso-position-horizontal-relative:page;mso-position-vertical-relative:paragraph;z-index:15738368" id="docshape25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</w:t>
      </w:r>
      <w:r>
        <w:rPr>
          <w:color w:val="6E6158"/>
          <w:spacing w:val="20"/>
        </w:rPr>
        <w:t> </w:t>
      </w:r>
      <w:r>
        <w:rPr>
          <w:color w:val="6E6158"/>
        </w:rPr>
        <w:t>Chancellor’s</w:t>
      </w:r>
      <w:r>
        <w:rPr>
          <w:color w:val="6E6158"/>
          <w:spacing w:val="20"/>
        </w:rPr>
        <w:t> </w:t>
      </w:r>
      <w:r>
        <w:rPr>
          <w:color w:val="6E6158"/>
        </w:rPr>
        <w:t>Outstanding</w:t>
      </w:r>
      <w:r>
        <w:rPr>
          <w:color w:val="6E6158"/>
          <w:spacing w:val="21"/>
        </w:rPr>
        <w:t> </w:t>
      </w:r>
      <w:r>
        <w:rPr>
          <w:color w:val="6E6158"/>
        </w:rPr>
        <w:t>Graduating</w:t>
      </w:r>
      <w:r>
        <w:rPr>
          <w:color w:val="6E6158"/>
          <w:spacing w:val="20"/>
        </w:rPr>
        <w:t> </w:t>
      </w:r>
      <w:r>
        <w:rPr>
          <w:color w:val="6E6158"/>
        </w:rPr>
        <w:t>Senior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Award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8880" id="docshape2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Roseville</w:t>
      </w:r>
      <w:r>
        <w:rPr>
          <w:color w:val="6E6158"/>
          <w:spacing w:val="9"/>
        </w:rPr>
        <w:t> </w:t>
      </w:r>
      <w:r>
        <w:rPr>
          <w:color w:val="6E6158"/>
        </w:rPr>
        <w:t>Rotary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Club</w:t>
      </w:r>
    </w:p>
    <w:p>
      <w:pPr>
        <w:pStyle w:val="BodyText"/>
        <w:spacing w:line="302" w:lineRule="auto" w:before="174"/>
        <w:ind w:right="7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814pt;width:1.65pt;height:1.65pt;mso-position-horizontal-relative:page;mso-position-vertical-relative:paragraph;z-index:15739392" id="docshape27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 (Elected), Rocklin Unified School District Board of Trustees, 2002 – 2018. Served as</w:t>
      </w:r>
      <w:r>
        <w:rPr>
          <w:color w:val="6E6158"/>
          <w:spacing w:val="40"/>
        </w:rPr>
        <w:t> </w:t>
      </w:r>
      <w:r>
        <w:rPr>
          <w:color w:val="6E6158"/>
        </w:rPr>
        <w:t>board president for eight years.</w:t>
      </w:r>
    </w:p>
    <w:p>
      <w:pPr>
        <w:pStyle w:val="BodyText"/>
        <w:spacing w:line="420" w:lineRule="auto" w:before="113"/>
        <w:ind w:right="29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131295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825pt;width:1.65pt;height:1.65pt;mso-position-horizontal-relative:page;mso-position-vertical-relative:paragraph;z-index:15739904" id="docshape28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394828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8854pt;width:1.65pt;height:1.65pt;mso-position-horizontal-relative:page;mso-position-vertical-relative:paragraph;z-index:15740416" id="docshape29" coordorigin="1670,622" coordsize="33,33" path="m1691,654l1682,654,1678,653,1671,646,1670,643,1670,634,1671,630,1678,623,1682,622,1691,622,1694,623,1701,630,1702,634,1702,638,1702,643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653194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1.432602pt;width:1.65pt;height:1.65pt;mso-position-horizontal-relative:page;mso-position-vertical-relative:paragraph;z-index:15740928" id="docshape30" coordorigin="1670,1029" coordsize="33,33" path="m1691,1061l1682,1061,1678,1060,1671,1053,1670,1049,1670,1040,1671,1037,1678,1030,1682,1029,1691,1029,1694,1030,1701,1037,1702,1040,1702,1045,1702,1049,1701,1053,1694,1060,1691,10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South Placer Heritage Foundation, 2007–present Board of Directors, Vacaville Chamber of Commerce, 2022 – 2025 Member, Vacaville Rotary Club, 2020 – 2023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63193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59pt;width:1.65pt;height:1.65pt;mso-position-horizontal-relative:page;mso-position-vertical-relative:paragraph;z-index:15741440" id="docshape31" coordorigin="1670,100" coordsize="33,33" path="m1691,132l1682,132,1678,130,1671,124,1670,120,1670,111,1671,107,1678,101,1682,100,1691,100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</w:t>
      </w:r>
      <w:r>
        <w:rPr>
          <w:color w:val="6E6158"/>
          <w:spacing w:val="16"/>
        </w:rPr>
        <w:t> </w:t>
      </w:r>
      <w:r>
        <w:rPr>
          <w:color w:val="6E6158"/>
        </w:rPr>
        <w:t>Board</w:t>
      </w:r>
      <w:r>
        <w:rPr>
          <w:color w:val="6E6158"/>
          <w:spacing w:val="17"/>
        </w:rPr>
        <w:t> </w:t>
      </w:r>
      <w:r>
        <w:rPr>
          <w:color w:val="6E6158"/>
        </w:rPr>
        <w:t>Member,</w:t>
      </w:r>
      <w:r>
        <w:rPr>
          <w:color w:val="6E6158"/>
          <w:spacing w:val="16"/>
        </w:rPr>
        <w:t> </w:t>
      </w:r>
      <w:r>
        <w:rPr>
          <w:color w:val="6E6158"/>
        </w:rPr>
        <w:t>Rocklin</w:t>
      </w:r>
      <w:r>
        <w:rPr>
          <w:color w:val="6E6158"/>
          <w:spacing w:val="17"/>
        </w:rPr>
        <w:t> </w:t>
      </w:r>
      <w:r>
        <w:rPr>
          <w:color w:val="6E6158"/>
        </w:rPr>
        <w:t>Educational</w:t>
      </w:r>
      <w:r>
        <w:rPr>
          <w:color w:val="6E6158"/>
          <w:spacing w:val="17"/>
        </w:rPr>
        <w:t> </w:t>
      </w:r>
      <w:r>
        <w:rPr>
          <w:color w:val="6E6158"/>
        </w:rPr>
        <w:t>Excellence</w:t>
      </w:r>
      <w:r>
        <w:rPr>
          <w:color w:val="6E6158"/>
          <w:spacing w:val="16"/>
        </w:rPr>
        <w:t> </w:t>
      </w:r>
      <w:r>
        <w:rPr>
          <w:color w:val="6E6158"/>
        </w:rPr>
        <w:t>Foundation,</w:t>
      </w:r>
      <w:r>
        <w:rPr>
          <w:color w:val="6E6158"/>
          <w:spacing w:val="17"/>
        </w:rPr>
        <w:t> </w:t>
      </w:r>
      <w:r>
        <w:rPr>
          <w:color w:val="6E6158"/>
        </w:rPr>
        <w:t>2008–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7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262836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5795pt;width:1.65pt;height:1.65pt;mso-position-horizontal-relative:page;mso-position-vertical-relative:paragraph;z-index:15741952" id="docshape32" coordorigin="1670,414" coordsize="33,33" path="m1691,446l1682,446,1678,445,1671,439,1670,435,1670,426,1671,422,1678,416,1682,414,1691,414,1694,416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and Member of the Board of Directors, Chairman of the Board of Directors (2008), Rocklin</w:t>
      </w:r>
      <w:r>
        <w:rPr>
          <w:color w:val="6E6158"/>
          <w:spacing w:val="40"/>
        </w:rPr>
        <w:t> </w:t>
      </w:r>
      <w:r>
        <w:rPr>
          <w:color w:val="6E6158"/>
        </w:rPr>
        <w:t>Area Chamber of Commerce, 2006–2009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142783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821pt;width:1.65pt;height:1.65pt;mso-position-horizontal-relative:page;mso-position-vertical-relative:paragraph;z-index:15742464" id="docshape33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Coach,</w:t>
      </w:r>
      <w:r>
        <w:rPr>
          <w:color w:val="6E6158"/>
          <w:spacing w:val="11"/>
        </w:rPr>
        <w:t> </w:t>
      </w:r>
      <w:r>
        <w:rPr>
          <w:color w:val="6E6158"/>
        </w:rPr>
        <w:t>Rocklin</w:t>
      </w:r>
      <w:r>
        <w:rPr>
          <w:color w:val="6E6158"/>
          <w:spacing w:val="11"/>
        </w:rPr>
        <w:t> </w:t>
      </w:r>
      <w:r>
        <w:rPr>
          <w:color w:val="6E6158"/>
        </w:rPr>
        <w:t>Youth</w:t>
      </w:r>
      <w:r>
        <w:rPr>
          <w:color w:val="6E6158"/>
          <w:spacing w:val="12"/>
        </w:rPr>
        <w:t> </w:t>
      </w:r>
      <w:r>
        <w:rPr>
          <w:color w:val="6E6158"/>
        </w:rPr>
        <w:t>Soccer</w:t>
      </w:r>
      <w:r>
        <w:rPr>
          <w:color w:val="6E6158"/>
          <w:spacing w:val="11"/>
        </w:rPr>
        <w:t> </w:t>
      </w:r>
      <w:r>
        <w:rPr>
          <w:color w:val="6E6158"/>
        </w:rPr>
        <w:t>Club,</w:t>
      </w:r>
      <w:r>
        <w:rPr>
          <w:color w:val="6E6158"/>
          <w:spacing w:val="12"/>
        </w:rPr>
        <w:t> </w:t>
      </w:r>
      <w:r>
        <w:rPr>
          <w:color w:val="6E6158"/>
        </w:rPr>
        <w:t>2001-</w:t>
      </w:r>
      <w:r>
        <w:rPr>
          <w:color w:val="6E6158"/>
          <w:spacing w:val="-4"/>
        </w:rPr>
        <w:t>2006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175118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864pt;width:1.65pt;height:1.65pt;mso-position-horizontal-relative:page;mso-position-vertical-relative:paragraph;z-index:15742976" id="docshape34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Whitney</w:t>
      </w:r>
      <w:r>
        <w:rPr>
          <w:color w:val="6E6158"/>
          <w:spacing w:val="16"/>
        </w:rPr>
        <w:t> </w:t>
      </w:r>
      <w:r>
        <w:rPr>
          <w:color w:val="6E6158"/>
        </w:rPr>
        <w:t>High</w:t>
      </w:r>
      <w:r>
        <w:rPr>
          <w:color w:val="6E6158"/>
          <w:spacing w:val="16"/>
        </w:rPr>
        <w:t> </w:t>
      </w:r>
      <w:r>
        <w:rPr>
          <w:color w:val="6E6158"/>
        </w:rPr>
        <w:t>School</w:t>
      </w:r>
      <w:r>
        <w:rPr>
          <w:color w:val="6E6158"/>
          <w:spacing w:val="16"/>
        </w:rPr>
        <w:t> </w:t>
      </w:r>
      <w:r>
        <w:rPr>
          <w:color w:val="6E6158"/>
        </w:rPr>
        <w:t>Bond</w:t>
      </w:r>
      <w:r>
        <w:rPr>
          <w:color w:val="6E6158"/>
          <w:spacing w:val="17"/>
        </w:rPr>
        <w:t> </w:t>
      </w:r>
      <w:r>
        <w:rPr>
          <w:color w:val="6E6158"/>
        </w:rPr>
        <w:t>Measure</w:t>
      </w:r>
      <w:r>
        <w:rPr>
          <w:color w:val="6E6158"/>
          <w:spacing w:val="16"/>
        </w:rPr>
        <w:t> </w:t>
      </w:r>
      <w:r>
        <w:rPr>
          <w:color w:val="6E6158"/>
        </w:rPr>
        <w:t>Committee,</w:t>
      </w:r>
      <w:r>
        <w:rPr>
          <w:color w:val="6E6158"/>
          <w:spacing w:val="16"/>
        </w:rPr>
        <w:t> </w:t>
      </w:r>
      <w:r>
        <w:rPr>
          <w:color w:val="6E6158"/>
        </w:rPr>
        <w:t>2001-</w:t>
      </w:r>
      <w:r>
        <w:rPr>
          <w:color w:val="6E6158"/>
          <w:spacing w:val="-4"/>
        </w:rPr>
        <w:t>2002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175155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783pt;width:1.65pt;height:1.65pt;mso-position-horizontal-relative:page;mso-position-vertical-relative:paragraph;z-index:15743488" id="docshape35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Directors,</w:t>
      </w:r>
      <w:r>
        <w:rPr>
          <w:color w:val="6E6158"/>
          <w:spacing w:val="9"/>
        </w:rPr>
        <w:t> </w:t>
      </w:r>
      <w:r>
        <w:rPr>
          <w:color w:val="6E6158"/>
        </w:rPr>
        <w:t>Sacramento</w:t>
      </w:r>
      <w:r>
        <w:rPr>
          <w:color w:val="6E6158"/>
          <w:spacing w:val="9"/>
        </w:rPr>
        <w:t> </w:t>
      </w:r>
      <w:r>
        <w:rPr>
          <w:color w:val="6E6158"/>
        </w:rPr>
        <w:t>Valley</w:t>
      </w:r>
      <w:r>
        <w:rPr>
          <w:color w:val="6E6158"/>
          <w:spacing w:val="9"/>
        </w:rPr>
        <w:t> </w:t>
      </w:r>
      <w:r>
        <w:rPr>
          <w:color w:val="6E6158"/>
        </w:rPr>
        <w:t>Teen</w:t>
      </w:r>
      <w:r>
        <w:rPr>
          <w:color w:val="6E6158"/>
          <w:spacing w:val="9"/>
        </w:rPr>
        <w:t> </w:t>
      </w:r>
      <w:r>
        <w:rPr>
          <w:color w:val="6E6158"/>
        </w:rPr>
        <w:t>Challenge,</w:t>
      </w:r>
      <w:r>
        <w:rPr>
          <w:color w:val="6E6158"/>
          <w:spacing w:val="9"/>
        </w:rPr>
        <w:t> </w:t>
      </w:r>
      <w:r>
        <w:rPr>
          <w:color w:val="6E6158"/>
        </w:rPr>
        <w:t>1997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2003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65054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2406pt;width:1.65pt;height:1.65pt;mso-position-horizontal-relative:page;mso-position-vertical-relative:paragraph;z-index:15744000" id="docshape36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174859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452pt;width:1.65pt;height:1.65pt;mso-position-horizontal-relative:page;mso-position-vertical-relative:paragraph;z-index:15744512" id="docshape3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Eastern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169729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4494pt;width:1.65pt;height:1.65pt;mso-position-horizontal-relative:page;mso-position-vertical-relative:paragraph;z-index:15745024" id="docshape38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https://www.fennemorelaw.com/contact-us/vacaville/" TargetMode="External"/><Relationship Id="rId11" Type="http://schemas.openxmlformats.org/officeDocument/2006/relationships/hyperlink" Target="mailto:tlowel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 Lowell - Fennemore</dc:title>
  <dcterms:created xsi:type="dcterms:W3CDTF">2026-06-01T17:52:36Z</dcterms:created>
  <dcterms:modified xsi:type="dcterms:W3CDTF">2026-06-01T17:52:36Z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2026-06-01T00:00:00Z</vt:filetime>
  </property>
  <property fmtid="{D5CDD505-2E9C-101B-9397-08002B2CF9AE}" pid="6" name="Producer">
    <vt:lpwstr>Skia/PDF m148</vt:lpwstr>
  </property>
</Properties>
</file>