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9310"/>
                <wp:effectExtent l="0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9310"/>
                          <a:chExt cx="6071870" cy="336931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Pachec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10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68" w:right="57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TRAVIS A.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PACHECO</w:t>
                              </w:r>
                            </w:p>
                            <w:p>
                              <w:pPr>
                                <w:spacing w:before="64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568" w:right="5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602.916.5736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602.916.5936</w:t>
                              </w:r>
                            </w:p>
                            <w:p>
                              <w:pPr>
                                <w:spacing w:before="119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tpacheco@fennemorelaw.com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5.3pt;mso-position-horizontal-relative:char;mso-position-vertical-relative:line" id="docshapegroup1" coordorigin="0,0" coordsize="9562,5306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83" type="#_x0000_t75" id="docshape3" alt="Travis Pacheco" stroked="false">
                  <v:imagedata r:id="rId7" o:title=""/>
                </v:shape>
                <v:rect style="position:absolute;left:4784;top:423;width:4777;height:4883" id="docshape4" filled="true" fillcolor="#262424" stroked="false">
                  <v:fill type="solid"/>
                </v:rect>
                <v:shape style="position:absolute;left:5500;top:2913;width:3337;height:505" id="docshape5" coordorigin="5501,2913" coordsize="3337,505" path="m8837,3410l5501,3410,5501,3418,8837,3418,8837,3410xm8837,2913l5501,2913,5501,2921,8837,2921,8837,291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83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68" w:right="57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TRAVIS A.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PACHECO</w:t>
                        </w:r>
                      </w:p>
                      <w:p>
                        <w:pPr>
                          <w:spacing w:before="64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568" w:right="5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602.916.5736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602.916.5936</w:t>
                        </w:r>
                      </w:p>
                      <w:p>
                        <w:pPr>
                          <w:spacing w:before="119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tpacheco@fennemorelaw.com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74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TRAVIS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PACHECO</w:t>
      </w:r>
    </w:p>
    <w:p>
      <w:pPr>
        <w:pStyle w:val="BodyText"/>
        <w:spacing w:line="302" w:lineRule="auto" w:before="146"/>
        <w:ind w:right="605"/>
      </w:pPr>
      <w:r>
        <w:rPr>
          <w:color w:val="6E6158"/>
        </w:rPr>
        <w:t>Travis practices in the area of employment and labor. He has litigated cases involving enforcement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restrictive</w:t>
      </w:r>
      <w:r>
        <w:rPr>
          <w:color w:val="6E6158"/>
          <w:spacing w:val="24"/>
        </w:rPr>
        <w:t> </w:t>
      </w:r>
      <w:r>
        <w:rPr>
          <w:color w:val="6E6158"/>
        </w:rPr>
        <w:t>covenant</w:t>
      </w:r>
      <w:r>
        <w:rPr>
          <w:color w:val="6E6158"/>
          <w:spacing w:val="24"/>
        </w:rPr>
        <w:t> </w:t>
      </w:r>
      <w:r>
        <w:rPr>
          <w:color w:val="6E6158"/>
        </w:rPr>
        <w:t>agreements,</w:t>
      </w:r>
      <w:r>
        <w:rPr>
          <w:color w:val="6E6158"/>
          <w:spacing w:val="24"/>
        </w:rPr>
        <w:t> </w:t>
      </w:r>
      <w:r>
        <w:rPr>
          <w:color w:val="6E6158"/>
        </w:rPr>
        <w:t>including</w:t>
      </w:r>
      <w:r>
        <w:rPr>
          <w:color w:val="6E6158"/>
          <w:spacing w:val="24"/>
        </w:rPr>
        <w:t> </w:t>
      </w:r>
      <w:r>
        <w:rPr>
          <w:color w:val="6E6158"/>
        </w:rPr>
        <w:t>noncompete</w:t>
      </w:r>
      <w:r>
        <w:rPr>
          <w:color w:val="6E6158"/>
          <w:spacing w:val="24"/>
        </w:rPr>
        <w:t> </w:t>
      </w:r>
      <w:r>
        <w:rPr>
          <w:color w:val="6E6158"/>
        </w:rPr>
        <w:t>agreements,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right="605"/>
      </w:pPr>
      <w:r>
        <w:rPr>
          <w:color w:val="6E6158"/>
        </w:rPr>
        <w:t>employee wage and hour claims. He has also successfully defended employers against </w:t>
      </w:r>
      <w:r>
        <w:rPr>
          <w:color w:val="6E6158"/>
        </w:rPr>
        <w:t>charges</w:t>
      </w:r>
      <w:r>
        <w:rPr>
          <w:color w:val="6E6158"/>
          <w:spacing w:val="80"/>
        </w:rPr>
        <w:t> </w:t>
      </w:r>
      <w:r>
        <w:rPr>
          <w:color w:val="6E6158"/>
        </w:rPr>
        <w:t>of employment discrimination, harassment, and wrongful termination claims filed with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3"/>
        </w:rPr>
        <w:t> </w:t>
      </w:r>
      <w:r>
        <w:rPr>
          <w:color w:val="6E6158"/>
        </w:rPr>
        <w:t>agencies,</w:t>
      </w:r>
      <w:r>
        <w:rPr>
          <w:color w:val="6E6158"/>
          <w:spacing w:val="33"/>
        </w:rPr>
        <w:t> </w:t>
      </w:r>
      <w:r>
        <w:rPr>
          <w:color w:val="6E6158"/>
        </w:rPr>
        <w:t>including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EEOC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Attorney</w:t>
      </w:r>
      <w:r>
        <w:rPr>
          <w:color w:val="6E6158"/>
          <w:spacing w:val="33"/>
        </w:rPr>
        <w:t> </w:t>
      </w:r>
      <w:r>
        <w:rPr>
          <w:color w:val="6E6158"/>
        </w:rPr>
        <w:t>General’s</w:t>
      </w:r>
      <w:r>
        <w:rPr>
          <w:color w:val="6E6158"/>
          <w:spacing w:val="33"/>
        </w:rPr>
        <w:t> </w:t>
      </w:r>
      <w:r>
        <w:rPr>
          <w:color w:val="6E6158"/>
        </w:rPr>
        <w:t>Civil</w:t>
      </w:r>
      <w:r>
        <w:rPr>
          <w:color w:val="6E6158"/>
          <w:spacing w:val="33"/>
        </w:rPr>
        <w:t> </w:t>
      </w:r>
      <w:r>
        <w:rPr>
          <w:color w:val="6E6158"/>
        </w:rPr>
        <w:t>Rights</w:t>
      </w:r>
      <w:r>
        <w:rPr>
          <w:color w:val="6E6158"/>
          <w:spacing w:val="33"/>
        </w:rPr>
        <w:t> </w:t>
      </w:r>
      <w:r>
        <w:rPr>
          <w:color w:val="6E6158"/>
        </w:rPr>
        <w:t>Division.</w:t>
      </w:r>
    </w:p>
    <w:p>
      <w:pPr>
        <w:pStyle w:val="BodyText"/>
        <w:spacing w:line="292" w:lineRule="auto" w:before="1"/>
        <w:ind w:right="605"/>
      </w:pPr>
      <w:r>
        <w:rPr>
          <w:color w:val="6E6158"/>
        </w:rPr>
        <w:t>Travis assists employers and HR personnel by navigating them through the broad spectrum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federal and state employment laws to ensure compliance, drafting employment handbook</w:t>
      </w:r>
      <w:r>
        <w:rPr>
          <w:color w:val="6E6158"/>
          <w:spacing w:val="40"/>
        </w:rPr>
        <w:t> </w:t>
      </w:r>
      <w:r>
        <w:rPr>
          <w:color w:val="6E6158"/>
        </w:rPr>
        <w:t>policies, and by drafting and enforcing various employment agreements.</w:t>
      </w:r>
    </w:p>
    <w:p>
      <w:pPr>
        <w:pStyle w:val="BodyText"/>
        <w:spacing w:line="302" w:lineRule="auto" w:before="197"/>
        <w:ind w:right="574"/>
      </w:pPr>
      <w:r>
        <w:rPr>
          <w:color w:val="6E6158"/>
        </w:rPr>
        <w:t>As a ninth-generation Arizonan, Travis was drawn to our firm’s 130-year-plus history in Arizona. He</w:t>
      </w:r>
      <w:r>
        <w:rPr>
          <w:color w:val="6E6158"/>
          <w:spacing w:val="40"/>
        </w:rPr>
        <w:t> </w:t>
      </w:r>
      <w:r>
        <w:rPr>
          <w:color w:val="6E6158"/>
        </w:rPr>
        <w:t>comes</w:t>
      </w:r>
      <w:r>
        <w:rPr>
          <w:color w:val="6E6158"/>
          <w:spacing w:val="23"/>
        </w:rPr>
        <w:t> </w:t>
      </w:r>
      <w:r>
        <w:rPr>
          <w:color w:val="6E6158"/>
        </w:rPr>
        <w:t>from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hard-working</w:t>
      </w:r>
      <w:r>
        <w:rPr>
          <w:color w:val="6E6158"/>
          <w:spacing w:val="23"/>
        </w:rPr>
        <w:t> </w:t>
      </w:r>
      <w:r>
        <w:rPr>
          <w:color w:val="6E6158"/>
        </w:rPr>
        <w:t>farming</w:t>
      </w:r>
      <w:r>
        <w:rPr>
          <w:color w:val="6E6158"/>
          <w:spacing w:val="23"/>
        </w:rPr>
        <w:t> </w:t>
      </w:r>
      <w:r>
        <w:rPr>
          <w:color w:val="6E6158"/>
        </w:rPr>
        <w:t>family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Tucson</w:t>
      </w:r>
      <w:r>
        <w:rPr>
          <w:color w:val="6E6158"/>
          <w:spacing w:val="23"/>
        </w:rPr>
        <w:t> </w:t>
      </w:r>
      <w:r>
        <w:rPr>
          <w:color w:val="6E6158"/>
        </w:rPr>
        <w:t>area</w:t>
      </w:r>
      <w:r>
        <w:rPr>
          <w:color w:val="6E6158"/>
          <w:spacing w:val="23"/>
        </w:rPr>
        <w:t> </w:t>
      </w:r>
      <w:r>
        <w:rPr>
          <w:color w:val="6E6158"/>
        </w:rPr>
        <w:t>who</w:t>
      </w:r>
      <w:r>
        <w:rPr>
          <w:color w:val="6E6158"/>
          <w:spacing w:val="23"/>
        </w:rPr>
        <w:t> </w:t>
      </w:r>
      <w:r>
        <w:rPr>
          <w:color w:val="6E6158"/>
        </w:rPr>
        <w:t>first</w:t>
      </w:r>
      <w:r>
        <w:rPr>
          <w:color w:val="6E6158"/>
          <w:spacing w:val="23"/>
        </w:rPr>
        <w:t> </w:t>
      </w:r>
      <w:r>
        <w:rPr>
          <w:color w:val="6E6158"/>
        </w:rPr>
        <w:t>settled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Tubac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</w:p>
    <w:p>
      <w:pPr>
        <w:pStyle w:val="BodyText"/>
        <w:spacing w:line="295" w:lineRule="auto"/>
        <w:ind w:right="605"/>
      </w:pPr>
      <w:r>
        <w:rPr>
          <w:color w:val="6E6158"/>
        </w:rPr>
        <w:t>1770’s. Fluent in Spanish, he enjoys working with diverse clients and businesses. Travis is the firm’s</w:t>
      </w:r>
      <w:r>
        <w:rPr>
          <w:color w:val="6E6158"/>
          <w:spacing w:val="40"/>
        </w:rPr>
        <w:t> </w:t>
      </w:r>
      <w:r>
        <w:rPr>
          <w:color w:val="6E6158"/>
        </w:rPr>
        <w:t>Chief Diversity &amp; Inclusion Officer strongly believing that prioritizing diversity among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makes such entities stronger, fosters new ideas and progress, and allows others to understand</w:t>
      </w:r>
      <w:r>
        <w:rPr>
          <w:color w:val="6E6158"/>
          <w:spacing w:val="40"/>
        </w:rPr>
        <w:t> </w:t>
      </w:r>
      <w:r>
        <w:rPr>
          <w:color w:val="6E6158"/>
        </w:rPr>
        <w:t>each other better and to appreciate differences. For many years, Travis has also worked closely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community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student-based</w:t>
      </w:r>
      <w:r>
        <w:rPr>
          <w:color w:val="6E6158"/>
          <w:spacing w:val="33"/>
        </w:rPr>
        <w:t> </w:t>
      </w:r>
      <w:r>
        <w:rPr>
          <w:color w:val="6E6158"/>
        </w:rPr>
        <w:t>nonprofit</w:t>
      </w:r>
      <w:r>
        <w:rPr>
          <w:color w:val="6E6158"/>
          <w:spacing w:val="33"/>
        </w:rPr>
        <w:t> </w:t>
      </w:r>
      <w:r>
        <w:rPr>
          <w:color w:val="6E6158"/>
        </w:rPr>
        <w:t>organizations,</w:t>
      </w:r>
      <w:r>
        <w:rPr>
          <w:color w:val="6E6158"/>
          <w:spacing w:val="33"/>
        </w:rPr>
        <w:t> </w:t>
      </w:r>
      <w:r>
        <w:rPr>
          <w:color w:val="6E6158"/>
        </w:rPr>
        <w:t>such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Be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Leader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Foundation.</w:t>
      </w:r>
    </w:p>
    <w:p>
      <w:pPr>
        <w:pStyle w:val="BodyText"/>
        <w:spacing w:before="13"/>
        <w:ind w:left="0"/>
      </w:pPr>
    </w:p>
    <w:p>
      <w:pPr>
        <w:pStyle w:val="BodyText"/>
        <w:spacing w:line="292" w:lineRule="auto"/>
        <w:ind w:right="973"/>
        <w:jc w:val="both"/>
      </w:pPr>
      <w:r>
        <w:rPr>
          <w:color w:val="6E6158"/>
        </w:rPr>
        <w:t>In his free time, Travis enjoys spending time with his wife and kids, and coaching little league baseball. He has a passion for world travel, Major League Baseball, and music in which he is classically-trained in piano.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17" w:lineRule="auto"/>
        <w:ind w:right="3941"/>
      </w:pP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Arizona State University</w:t>
      </w:r>
    </w:p>
    <w:p>
      <w:pPr>
        <w:pStyle w:val="Heading1"/>
        <w:spacing w:before="27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Employment,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2013-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80"/>
      </w:pPr>
      <w:r>
        <w:rPr>
          <w:color w:val="6E6158"/>
        </w:rPr>
        <w:t>Dean’s</w:t>
      </w:r>
      <w:r>
        <w:rPr>
          <w:color w:val="6E6158"/>
          <w:spacing w:val="11"/>
        </w:rPr>
        <w:t> </w:t>
      </w:r>
      <w:r>
        <w:rPr>
          <w:color w:val="6E6158"/>
        </w:rPr>
        <w:t>Recognition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James</w:t>
      </w:r>
      <w:r>
        <w:rPr>
          <w:color w:val="6E6158"/>
          <w:spacing w:val="11"/>
        </w:rPr>
        <w:t> </w:t>
      </w:r>
      <w:r>
        <w:rPr>
          <w:color w:val="6E6158"/>
        </w:rPr>
        <w:t>E.</w:t>
      </w:r>
      <w:r>
        <w:rPr>
          <w:color w:val="6E6158"/>
          <w:spacing w:val="12"/>
        </w:rPr>
        <w:t> </w:t>
      </w:r>
      <w:r>
        <w:rPr>
          <w:color w:val="6E6158"/>
        </w:rPr>
        <w:t>Rogers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Fennemore offers a peek at attorney life to students from the Be A Leader Foundation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Blog, March 17, 2025</w:t>
      </w:r>
    </w:p>
    <w:p>
      <w:pPr>
        <w:pStyle w:val="BodyText"/>
        <w:spacing w:before="132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“Recent</w:t>
      </w:r>
      <w:r>
        <w:rPr>
          <w:color w:val="6E6158"/>
          <w:spacing w:val="11"/>
        </w:rPr>
        <w:t> </w:t>
      </w:r>
      <w:r>
        <w:rPr>
          <w:color w:val="6E6158"/>
        </w:rPr>
        <w:t>Updates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Employment</w:t>
      </w:r>
      <w:r>
        <w:rPr>
          <w:color w:val="6E6158"/>
          <w:spacing w:val="11"/>
        </w:rPr>
        <w:t> </w:t>
      </w:r>
      <w:r>
        <w:rPr>
          <w:color w:val="6E6158"/>
        </w:rPr>
        <w:t>Law,”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L&amp;E</w:t>
      </w:r>
      <w:r>
        <w:rPr>
          <w:color w:val="6E6158"/>
          <w:spacing w:val="12"/>
        </w:rPr>
        <w:t> </w:t>
      </w:r>
      <w:r>
        <w:rPr>
          <w:color w:val="6E6158"/>
        </w:rPr>
        <w:t>Fall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2023.</w:t>
      </w:r>
    </w:p>
    <w:p>
      <w:pPr>
        <w:pStyle w:val="BodyText"/>
        <w:spacing w:line="292" w:lineRule="auto" w:before="174"/>
        <w:ind w:right="741"/>
      </w:pPr>
      <w:r>
        <w:rPr>
          <w:color w:val="6E6158"/>
        </w:rPr>
        <w:t>Co-Presenter, “Protecting Your Business and Limiting Risk of Employment Lawsuits”, </w:t>
      </w:r>
      <w:r>
        <w:rPr>
          <w:color w:val="6E6158"/>
        </w:rPr>
        <w:t>Arizona Builders Alliance, employment law seminar, May 2023</w:t>
      </w:r>
    </w:p>
    <w:p>
      <w:pPr>
        <w:pStyle w:val="BodyText"/>
        <w:spacing w:line="297" w:lineRule="auto" w:before="123"/>
        <w:ind w:right="605"/>
      </w:pPr>
      <w:r>
        <w:rPr>
          <w:color w:val="6E6158"/>
        </w:rPr>
        <w:t>Presenter, “Getting it Right – Classifying Workers as Employees or Independent Contractors”, Arizona Department of Transportation’s Disadvantage Business Enterprise virtual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December 2022</w:t>
      </w:r>
    </w:p>
    <w:p>
      <w:pPr>
        <w:pStyle w:val="BodyText"/>
        <w:spacing w:line="292" w:lineRule="auto" w:before="118"/>
        <w:ind w:right="605"/>
      </w:pPr>
      <w:r>
        <w:rPr>
          <w:color w:val="6E6158"/>
        </w:rPr>
        <w:t>Interview, “FACT FINDERS: Under vaccine mandates, why isn’t proof of natural </w:t>
      </w:r>
      <w:r>
        <w:rPr>
          <w:color w:val="6E6158"/>
        </w:rPr>
        <w:t>immunity accepted?,” KOLD News 13 Phoenix, October 20, 2021</w:t>
      </w:r>
    </w:p>
    <w:p>
      <w:pPr>
        <w:pStyle w:val="BodyText"/>
        <w:spacing w:before="131"/>
      </w:pPr>
      <w:r>
        <w:rPr>
          <w:color w:val="6E6158"/>
        </w:rPr>
        <w:t>Podcast,</w:t>
      </w:r>
      <w:r>
        <w:rPr>
          <w:color w:val="6E6158"/>
          <w:spacing w:val="13"/>
        </w:rPr>
        <w:t> </w:t>
      </w:r>
      <w:r>
        <w:rPr>
          <w:color w:val="6E6158"/>
        </w:rPr>
        <w:t>“Diversity</w:t>
      </w:r>
      <w:r>
        <w:rPr>
          <w:color w:val="6E6158"/>
          <w:spacing w:val="13"/>
        </w:rPr>
        <w:t> </w:t>
      </w:r>
      <w:r>
        <w:rPr>
          <w:color w:val="6E6158"/>
        </w:rPr>
        <w:t>Equity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Inclusion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Fennemore,”</w:t>
      </w:r>
      <w:r>
        <w:rPr>
          <w:color w:val="6E6158"/>
          <w:spacing w:val="14"/>
        </w:rPr>
        <w:t> </w:t>
      </w:r>
      <w:r>
        <w:rPr>
          <w:color w:val="6E6158"/>
        </w:rPr>
        <w:t>Fenn.Talks</w:t>
      </w:r>
      <w:r>
        <w:rPr>
          <w:color w:val="6E6158"/>
          <w:spacing w:val="13"/>
        </w:rPr>
        <w:t> </w:t>
      </w:r>
      <w:r>
        <w:rPr>
          <w:color w:val="6E6158"/>
        </w:rPr>
        <w:t>Podcast,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</w:rPr>
        <w:t>5,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74"/>
        <w:ind w:right="605"/>
      </w:pPr>
      <w:r>
        <w:rPr>
          <w:color w:val="6E6158"/>
        </w:rPr>
        <w:t>Quoted, “Why Executives Should Weigh The Pros And Cons Before Paying Workers To Get Covid Shots,” </w:t>
      </w:r>
      <w:r>
        <w:rPr>
          <w:i/>
          <w:color w:val="6E6158"/>
          <w:sz w:val="20"/>
        </w:rPr>
        <w:t>Forbes</w:t>
      </w:r>
      <w:r>
        <w:rPr>
          <w:color w:val="6E6158"/>
        </w:rPr>
        <w:t>, May 28, 2021</w:t>
      </w:r>
    </w:p>
    <w:p>
      <w:pPr>
        <w:pStyle w:val="BodyText"/>
        <w:spacing w:line="302" w:lineRule="auto" w:before="128"/>
      </w:pPr>
      <w:r>
        <w:rPr>
          <w:color w:val="6E6158"/>
        </w:rPr>
        <w:t>Interview, “Can employers require employees to take the COVID-19 vaccine?” Fox 10 </w:t>
      </w:r>
      <w:r>
        <w:rPr>
          <w:color w:val="6E6158"/>
        </w:rPr>
        <w:t>Phoenix,</w:t>
      </w:r>
      <w:r>
        <w:rPr>
          <w:color w:val="6E6158"/>
          <w:spacing w:val="40"/>
        </w:rPr>
        <w:t> </w:t>
      </w:r>
      <w:r>
        <w:rPr>
          <w:color w:val="6E6158"/>
        </w:rPr>
        <w:t>December 6, 2020</w:t>
      </w:r>
    </w:p>
    <w:p>
      <w:pPr>
        <w:pStyle w:val="BodyText"/>
        <w:spacing w:line="292" w:lineRule="auto" w:before="113"/>
        <w:ind w:right="322"/>
      </w:pPr>
      <w:r>
        <w:rPr>
          <w:color w:val="6E6158"/>
        </w:rPr>
        <w:t>Presenter, “HR and Personnel Considerations for Reopening and Returning to Work”, Arizona Commerce</w:t>
      </w:r>
      <w:r>
        <w:rPr>
          <w:color w:val="6E6158"/>
          <w:spacing w:val="16"/>
        </w:rPr>
        <w:t> </w:t>
      </w:r>
      <w:r>
        <w:rPr>
          <w:color w:val="6E6158"/>
        </w:rPr>
        <w:t>Authority,</w:t>
      </w:r>
      <w:r>
        <w:rPr>
          <w:color w:val="6E6158"/>
          <w:spacing w:val="16"/>
        </w:rPr>
        <w:t> </w:t>
      </w:r>
      <w:r>
        <w:rPr>
          <w:color w:val="6E6158"/>
        </w:rPr>
        <w:t>Webinar,</w:t>
      </w:r>
      <w:r>
        <w:rPr>
          <w:color w:val="6E6158"/>
          <w:spacing w:val="16"/>
        </w:rPr>
        <w:t> </w:t>
      </w:r>
      <w:r>
        <w:rPr>
          <w:color w:val="6E6158"/>
        </w:rPr>
        <w:t>Small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Bootcamp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Resource</w:t>
      </w:r>
      <w:r>
        <w:rPr>
          <w:color w:val="6E6158"/>
          <w:spacing w:val="16"/>
        </w:rPr>
        <w:t> </w:t>
      </w:r>
      <w:r>
        <w:rPr>
          <w:color w:val="6E6158"/>
        </w:rPr>
        <w:t>Collective,</w:t>
      </w:r>
      <w:r>
        <w:rPr>
          <w:color w:val="6E6158"/>
          <w:spacing w:val="16"/>
        </w:rPr>
        <w:t> </w:t>
      </w:r>
      <w:r>
        <w:rPr>
          <w:color w:val="6E6158"/>
        </w:rPr>
        <w:t>May</w:t>
      </w:r>
      <w:r>
        <w:rPr>
          <w:color w:val="6E6158"/>
          <w:spacing w:val="16"/>
        </w:rPr>
        <w:t> </w:t>
      </w:r>
      <w:r>
        <w:rPr>
          <w:color w:val="6E6158"/>
        </w:rPr>
        <w:t>18,</w:t>
      </w:r>
      <w:r>
        <w:rPr>
          <w:color w:val="6E6158"/>
          <w:spacing w:val="16"/>
        </w:rPr>
        <w:t> </w:t>
      </w:r>
      <w:r>
        <w:rPr>
          <w:color w:val="6E6158"/>
        </w:rPr>
        <w:t>2020</w:t>
      </w:r>
    </w:p>
    <w:p>
      <w:pPr>
        <w:pStyle w:val="BodyText"/>
        <w:spacing w:line="292" w:lineRule="auto" w:before="131"/>
        <w:ind w:right="741"/>
      </w:pPr>
      <w:r>
        <w:rPr>
          <w:color w:val="6E6158"/>
        </w:rPr>
        <w:t>Presenter, “New Emergency Paid Leave Laws, Furloughs And Other Employment Issues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to COVID-19”, Chandler Innovations Incubator, Webinar, Small Business Town Hall, April 2020</w:t>
      </w:r>
    </w:p>
    <w:p>
      <w:pPr>
        <w:pStyle w:val="BodyText"/>
        <w:spacing w:before="123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“Sick-leave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helps</w:t>
      </w:r>
      <w:r>
        <w:rPr>
          <w:color w:val="6E6158"/>
          <w:spacing w:val="12"/>
        </w:rPr>
        <w:t> </w:t>
      </w:r>
      <w:r>
        <w:rPr>
          <w:color w:val="6E6158"/>
        </w:rPr>
        <w:t>workers</w:t>
      </w:r>
      <w:r>
        <w:rPr>
          <w:color w:val="6E6158"/>
          <w:spacing w:val="12"/>
        </w:rPr>
        <w:t> </w:t>
      </w:r>
      <w:r>
        <w:rPr>
          <w:color w:val="6E6158"/>
        </w:rPr>
        <w:t>amid</w:t>
      </w:r>
      <w:r>
        <w:rPr>
          <w:color w:val="6E6158"/>
          <w:spacing w:val="12"/>
        </w:rPr>
        <w:t> </w:t>
      </w:r>
      <w:r>
        <w:rPr>
          <w:color w:val="6E6158"/>
        </w:rPr>
        <w:t>coronavirus</w:t>
      </w:r>
      <w:r>
        <w:rPr>
          <w:color w:val="6E6158"/>
          <w:spacing w:val="12"/>
        </w:rPr>
        <w:t> </w:t>
      </w:r>
      <w:r>
        <w:rPr>
          <w:color w:val="6E6158"/>
        </w:rPr>
        <w:t>but</w:t>
      </w:r>
      <w:r>
        <w:rPr>
          <w:color w:val="6E6158"/>
          <w:spacing w:val="12"/>
        </w:rPr>
        <w:t> </w:t>
      </w:r>
      <w:r>
        <w:rPr>
          <w:color w:val="6E6158"/>
        </w:rPr>
        <w:t>puts</w:t>
      </w:r>
      <w:r>
        <w:rPr>
          <w:color w:val="6E6158"/>
          <w:spacing w:val="12"/>
        </w:rPr>
        <w:t> </w:t>
      </w:r>
      <w:r>
        <w:rPr>
          <w:color w:val="6E6158"/>
        </w:rPr>
        <w:t>onus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small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businesses,”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i/>
          <w:color w:val="6E6158"/>
          <w:sz w:val="20"/>
        </w:rPr>
        <w:t>Tucson.com,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28,</w:t>
      </w:r>
      <w:r>
        <w:rPr>
          <w:color w:val="6E6158"/>
          <w:spacing w:val="-1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80"/>
      </w:pPr>
      <w:r>
        <w:rPr>
          <w:color w:val="6E6158"/>
        </w:rPr>
        <w:t>Presenter, “Employment Law Update and Trending Workplace Issues for 2020,” Arizona </w:t>
      </w:r>
      <w:r>
        <w:rPr>
          <w:color w:val="6E6158"/>
        </w:rPr>
        <w:t>Hispanic Chamber of Commerce, Business Bootcamp series, March 2020</w:t>
      </w:r>
    </w:p>
    <w:p>
      <w:pPr>
        <w:pStyle w:val="BodyText"/>
        <w:spacing w:line="292" w:lineRule="auto" w:before="123"/>
        <w:ind w:right="605"/>
      </w:pPr>
      <w:r>
        <w:rPr>
          <w:color w:val="6E6158"/>
        </w:rPr>
        <w:t>Co-Presenter, “Highlights in Employment Law in 2019 and What’s To Come in 2020,” Employment Law Section of the State Bar of Arizona, December 2019</w:t>
      </w:r>
    </w:p>
    <w:p>
      <w:pPr>
        <w:pStyle w:val="BodyText"/>
        <w:spacing w:line="292" w:lineRule="auto" w:before="132"/>
        <w:ind w:right="741"/>
      </w:pPr>
      <w:hyperlink r:id="rId12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23"/>
        <w:ind w:right="322"/>
      </w:pPr>
      <w:hyperlink r:id="rId13">
        <w:r>
          <w:rPr>
            <w:color w:val="FF8100"/>
          </w:rPr>
          <w:t>Co-author, “Understanding the Emergency Family Medical Leave Expansion Act and </w:t>
        </w:r>
        <w:r>
          <w:rPr>
            <w:color w:val="FF8100"/>
          </w:rPr>
          <w:t>Emergency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Paid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Leave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Families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First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Coronavirus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Response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Act,”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March</w:t>
        </w:r>
      </w:hyperlink>
    </w:p>
    <w:p>
      <w:pPr>
        <w:pStyle w:val="BodyText"/>
        <w:spacing w:before="9"/>
      </w:pPr>
      <w:hyperlink r:id="rId13">
        <w:r>
          <w:rPr>
            <w:color w:val="FF8100"/>
          </w:rPr>
          <w:t>20,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right="605"/>
      </w:pPr>
      <w:hyperlink r:id="rId14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Fennemore Client Alert, March 17, 2020</w:t>
        </w:r>
      </w:hyperlink>
    </w:p>
    <w:p>
      <w:pPr>
        <w:pStyle w:val="BodyText"/>
        <w:spacing w:line="302" w:lineRule="auto" w:before="124"/>
        <w:ind w:right="605"/>
      </w:pPr>
      <w:hyperlink r:id="rId15">
        <w:r>
          <w:rPr>
            <w:color w:val="FF8100"/>
          </w:rPr>
          <w:t>Author, “Attention Employers With 100 or More Employees: Deadline Quickly Approaching </w:t>
        </w:r>
        <w:r>
          <w:rPr>
            <w:color w:val="FF8100"/>
          </w:rPr>
          <w:t>to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Submit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Pay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Data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EEOC,”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August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19,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2019</w:t>
        </w:r>
      </w:hyperlink>
    </w:p>
    <w:p>
      <w:pPr>
        <w:pStyle w:val="BodyText"/>
        <w:spacing w:after="0" w:line="302" w:lineRule="auto"/>
        <w:sectPr>
          <w:pgSz w:w="12240" w:h="15840"/>
          <w:pgMar w:top="580" w:bottom="280" w:left="1440" w:right="1080"/>
        </w:sectPr>
      </w:pPr>
    </w:p>
    <w:p>
      <w:pPr>
        <w:spacing w:line="278" w:lineRule="auto" w:before="73"/>
        <w:ind w:left="99" w:right="605" w:firstLine="0"/>
        <w:jc w:val="left"/>
        <w:rPr>
          <w:sz w:val="19"/>
        </w:rPr>
      </w:pPr>
      <w:r>
        <w:rPr>
          <w:color w:val="6E6158"/>
          <w:sz w:val="19"/>
        </w:rPr>
        <w:t>Author, “How Employers Should Handle Requests for Workplace Accommodations,”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Business Magazine</w:t>
      </w:r>
      <w:r>
        <w:rPr>
          <w:color w:val="6E6158"/>
          <w:sz w:val="19"/>
        </w:rPr>
        <w:t>, November 2018</w:t>
      </w:r>
    </w:p>
    <w:p>
      <w:pPr>
        <w:pStyle w:val="BodyText"/>
        <w:spacing w:line="292" w:lineRule="auto" w:before="141"/>
        <w:ind w:right="605"/>
      </w:pPr>
      <w:r>
        <w:rPr>
          <w:color w:val="6E6158"/>
        </w:rPr>
        <w:t>Co-presenter, “One year After the Arizona Paid Sick Leave Law: What Have We Learned?” Business Section of the State Bar of Arizona, October 2018</w:t>
      </w:r>
    </w:p>
    <w:p>
      <w:pPr>
        <w:spacing w:line="278" w:lineRule="auto" w:before="113"/>
        <w:ind w:left="99" w:right="605" w:firstLine="0"/>
        <w:jc w:val="left"/>
        <w:rPr>
          <w:sz w:val="19"/>
        </w:rPr>
      </w:pPr>
      <w:r>
        <w:rPr>
          <w:color w:val="6E6158"/>
          <w:sz w:val="19"/>
        </w:rPr>
        <w:t>Author, “How to Protect Your Business from Employee’s Social Media Posts,” </w:t>
      </w:r>
      <w:r>
        <w:rPr>
          <w:i/>
          <w:color w:val="6E6158"/>
          <w:sz w:val="20"/>
        </w:rPr>
        <w:t>Arizona Business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September 2018</w:t>
      </w:r>
    </w:p>
    <w:p>
      <w:pPr>
        <w:pStyle w:val="BodyText"/>
        <w:spacing w:before="13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Board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Directors,</w:t>
      </w:r>
      <w:r>
        <w:rPr>
          <w:color w:val="6E6158"/>
          <w:spacing w:val="7"/>
        </w:rPr>
        <w:t> </w:t>
      </w:r>
      <w:r>
        <w:rPr>
          <w:color w:val="6E6158"/>
        </w:rPr>
        <w:t>Be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7"/>
        </w:rPr>
        <w:t> </w:t>
      </w:r>
      <w:r>
        <w:rPr>
          <w:color w:val="6E6158"/>
        </w:rPr>
        <w:t>Leader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74"/>
      </w:pP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Chief</w:t>
      </w:r>
      <w:r>
        <w:rPr>
          <w:color w:val="6E6158"/>
          <w:spacing w:val="13"/>
        </w:rPr>
        <w:t> </w:t>
      </w:r>
      <w:r>
        <w:rPr>
          <w:color w:val="6E6158"/>
        </w:rPr>
        <w:t>Diversity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Inclusion</w:t>
      </w:r>
      <w:r>
        <w:rPr>
          <w:color w:val="6E6158"/>
          <w:spacing w:val="13"/>
        </w:rPr>
        <w:t> </w:t>
      </w:r>
      <w:r>
        <w:rPr>
          <w:color w:val="6E6158"/>
        </w:rPr>
        <w:t>Officer,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1698"/>
      </w:pPr>
      <w:r>
        <w:rPr>
          <w:color w:val="6E6158"/>
        </w:rPr>
        <w:t>Chair, Fennemore Craig Diversity and Inclusion Council, 2020-December </w:t>
      </w:r>
      <w:r>
        <w:rPr>
          <w:color w:val="6E6158"/>
        </w:rPr>
        <w:t>2022 Member, Sandra Day O’Connor Inn of Court, 2012-present</w:t>
      </w:r>
    </w:p>
    <w:p>
      <w:pPr>
        <w:pStyle w:val="BodyText"/>
        <w:spacing w:line="420" w:lineRule="auto" w:before="7"/>
        <w:ind w:right="1698"/>
      </w:pPr>
      <w:r>
        <w:rPr>
          <w:color w:val="6E6158"/>
        </w:rPr>
        <w:t>Member, Past Board Member, Los Abogados Hispanic Bar Association, 2009-</w:t>
      </w:r>
      <w:r>
        <w:rPr>
          <w:color w:val="6E6158"/>
        </w:rPr>
        <w:t>present Volunteer Mentor, The Be A Leader Foundation, 2009-present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pacheco@fennemorelaw.com" TargetMode="External"/><Relationship Id="rId11" Type="http://schemas.openxmlformats.org/officeDocument/2006/relationships/hyperlink" Target="https://www.fennemorelaw.com/fennemore-offers-a-peek-at-attorney-life-to-students-from-the-be-a-leader-foundation/" TargetMode="External"/><Relationship Id="rId12" Type="http://schemas.openxmlformats.org/officeDocument/2006/relationships/hyperlink" Target="https://www.fennemorelaw.com/insights/newsletters/2020/covid-19-health-plan-coverage-for-furloughed-employees" TargetMode="External"/><Relationship Id="rId13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4" Type="http://schemas.openxmlformats.org/officeDocument/2006/relationships/hyperlink" Target="https://www.fennemorelaw.com/insights/newsletters/2020/frequently-asked-questions-about-the-coronavirus-in-the-employment-setting" TargetMode="External"/><Relationship Id="rId15" Type="http://schemas.openxmlformats.org/officeDocument/2006/relationships/hyperlink" Target="https://www.fennemorelaw.com/insights/newsletters/2019/attention-employers-with-100-or-more-employe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A. Pacheco - Fennemore</dc:title>
  <dcterms:created xsi:type="dcterms:W3CDTF">2026-06-12T10:21:54Z</dcterms:created>
  <dcterms:modified xsi:type="dcterms:W3CDTF">2026-06-12T10:21:54Z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