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right="115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right="298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right="115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right="298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/>
        <w:ind w:right="393"/>
      </w:pP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82"/>
      </w:pP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6"/>
        </w:rPr>
        <w:t> </w:t>
      </w:r>
      <w:r>
        <w:rPr>
          <w:color w:val="6E6158"/>
        </w:rPr>
        <w:t>Counseling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1748"/>
      </w:pP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Managed all aspects of district court refund litigation for former Major League Baseball </w:t>
      </w:r>
      <w:r>
        <w:rPr>
          <w:color w:val="6E6158"/>
        </w:rPr>
        <w:t>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29"/>
      </w:pP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5" w:lineRule="auto" w:before="174"/>
        <w:ind w:right="298"/>
      </w:pPr>
      <w:r>
        <w:rPr>
          <w:color w:val="6E6158"/>
        </w:rPr>
        <w:t>Represented individual and corporate clients in negotiations in tax audits, collections cases,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appeals, and litigation matters before the U.S Department of Justice, Internal Revenue Service,</w:t>
      </w:r>
      <w:r>
        <w:rPr>
          <w:color w:val="6E6158"/>
          <w:spacing w:val="40"/>
        </w:rPr>
        <w:t> </w:t>
      </w:r>
      <w:r>
        <w:rPr>
          <w:color w:val="6E6158"/>
        </w:rPr>
        <w:t>California Franchise Tax Board, California Department of Tax and Fee Administration, and the</w:t>
      </w:r>
      <w:r>
        <w:rPr>
          <w:color w:val="6E6158"/>
          <w:spacing w:val="40"/>
        </w:rPr>
        <w:t> </w:t>
      </w:r>
      <w:r>
        <w:rPr>
          <w:color w:val="6E6158"/>
        </w:rPr>
        <w:t>Office of Tax Appeals</w:t>
      </w:r>
    </w:p>
    <w:p>
      <w:pPr>
        <w:pStyle w:val="BodyText"/>
        <w:spacing w:line="420" w:lineRule="auto" w:before="124"/>
        <w:ind w:right="1748"/>
      </w:pP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302" w:lineRule="auto"/>
        <w:ind w:right="298"/>
      </w:pP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11"/>
        <w:ind w:right="115"/>
      </w:pPr>
      <w:r>
        <w:rPr>
          <w:color w:val="6E6158"/>
        </w:rPr>
        <w:t>Secured a major national bank reimbursement for a high-net worth family in a credit card fraud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case.</w:t>
      </w:r>
    </w:p>
    <w:p>
      <w:pPr>
        <w:pStyle w:val="BodyText"/>
        <w:spacing w:line="420" w:lineRule="auto" w:before="131"/>
        <w:ind w:right="1748"/>
      </w:pP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before="130"/>
      </w:pPr>
      <w:r>
        <w:rPr>
          <w:color w:val="6E6158"/>
        </w:rPr>
        <w:t>Successfully</w:t>
      </w:r>
      <w:r>
        <w:rPr>
          <w:color w:val="6E6158"/>
          <w:spacing w:val="14"/>
        </w:rPr>
        <w:t> </w: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major</w:t>
      </w:r>
      <w:r>
        <w:rPr>
          <w:color w:val="6E6158"/>
          <w:spacing w:val="14"/>
        </w:rPr>
        <w:t> </w:t>
      </w:r>
      <w:r>
        <w:rPr>
          <w:color w:val="6E6158"/>
        </w:rPr>
        <w:t>technology</w:t>
      </w:r>
      <w:r>
        <w:rPr>
          <w:color w:val="6E6158"/>
          <w:spacing w:val="15"/>
        </w:rPr>
        <w:t> </w:t>
      </w:r>
      <w:r>
        <w:rPr>
          <w:color w:val="6E6158"/>
        </w:rPr>
        <w:t>corporation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work-place</w:t>
      </w:r>
      <w:r>
        <w:rPr>
          <w:color w:val="6E6158"/>
          <w:spacing w:val="15"/>
        </w:rPr>
        <w:t> </w:t>
      </w:r>
      <w:r>
        <w:rPr>
          <w:color w:val="6E6158"/>
        </w:rPr>
        <w:t>restraining</w:t>
      </w:r>
      <w:r>
        <w:rPr>
          <w:color w:val="6E6158"/>
          <w:spacing w:val="14"/>
        </w:rPr>
        <w:t> </w:t>
      </w:r>
      <w:r>
        <w:rPr>
          <w:color w:val="6E6158"/>
        </w:rPr>
        <w:t>order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74"/>
        <w:ind w:right="393"/>
      </w:pP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254"/>
        <w:ind w:left="99" w:right="2764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2025 Best Lawyers, One to Watch, 2024</w:t>
      </w:r>
    </w:p>
    <w:p>
      <w:pPr>
        <w:pStyle w:val="BodyText"/>
        <w:spacing w:before="4"/>
      </w:pP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Could You Be Owed a COVID-Era Tax Refund? What Businesses Should Know Now</w:t>
        </w:r>
      </w:hyperlink>
      <w:r>
        <w:rPr>
          <w:color w:val="6E6158"/>
        </w:rPr>
        <w:t>,” Fennemore Blog, April 13, 2026</w:t>
      </w:r>
    </w:p>
    <w:p>
      <w:pPr>
        <w:pStyle w:val="BodyText"/>
        <w:spacing w:line="292" w:lineRule="auto" w:before="132"/>
        <w:ind w:right="298"/>
      </w:pPr>
      <w:r>
        <w:rPr>
          <w:color w:val="6E6158"/>
        </w:rPr>
        <w:t>Speaker, “</w:t>
      </w:r>
      <w:hyperlink r:id="rId14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23"/>
        <w:ind w:right="115"/>
      </w:pPr>
      <w:r>
        <w:rPr>
          <w:color w:val="6E6158"/>
        </w:rPr>
        <w:t>Commentary, “White House Plan Could Prompt IRS to Expand Use of AI,”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31"/>
        <w:ind w:right="296"/>
      </w:pP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31"/>
        <w:ind w:right="393"/>
      </w:pP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23"/>
        <w:ind w:right="393"/>
      </w:pP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32"/>
        <w:ind w:right="296"/>
      </w:pP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302" w:lineRule="auto" w:before="123"/>
        <w:ind w:right="115"/>
      </w:pP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13"/>
        <w:ind w:right="115"/>
      </w:pPr>
      <w:r>
        <w:rPr>
          <w:color w:val="6E6158"/>
        </w:rPr>
        <w:t>Commentary, “Attorneys Oppose Dismantling of DOJ Tax Division,” Tax Notes, Tax Analysts, April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298"/>
      </w:pP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13"/>
      </w:pP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Commentary, “IRS Artificial Intelligence Policy Could See Changes Under Trump,” Tax Notes, Tax Analysts, February 2025</w:t>
      </w:r>
    </w:p>
    <w:p>
      <w:pPr>
        <w:pStyle w:val="BodyText"/>
        <w:spacing w:line="292" w:lineRule="auto" w:before="131"/>
        <w:ind w:right="393"/>
      </w:pP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“Legal Smackdown: AI Versus Tax Practitioner,” California Lawyers Association, Taxation Section, Annual Meeting, Anaheim, CA, November 2024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393"/>
      </w:pP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13"/>
      </w:pPr>
      <w:r>
        <w:rPr>
          <w:color w:val="6E6158"/>
        </w:rPr>
        <w:t>Commentary, “Pig Butchering Theft Losses May Evade TCJA Restrictions,”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August 2024</w:t>
      </w:r>
    </w:p>
    <w:p>
      <w:pPr>
        <w:pStyle w:val="BodyText"/>
        <w:spacing w:line="427" w:lineRule="auto" w:before="123"/>
        <w:ind w:right="298"/>
      </w:pP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292" w:lineRule="auto"/>
      </w:pPr>
      <w:r>
        <w:rPr>
          <w:color w:val="6E6158"/>
        </w:rPr>
        <w:t>Presenter, “The Role of Artificial Intelligence in Tax Controversy,” Agostino BBQ and Seminar, June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16"/>
        <w:ind w:right="298"/>
      </w:pP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96"/>
      </w:pP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32"/>
      </w:pP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13"/>
        <w:ind w:right="393"/>
      </w:pP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13"/>
      </w:pP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298"/>
      </w:pP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31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298"/>
      </w:pPr>
      <w:r>
        <w:rPr>
          <w:color w:val="6E6158"/>
        </w:rPr>
        <w:t>Author, “Amusing Inventions Not to Be Thrown Away: ChatGPT and the Future of Tax,” Journal of Tax Practice and Procedure, Wolters Kluwer, Summer 2023</w:t>
      </w:r>
    </w:p>
    <w:p>
      <w:pPr>
        <w:pStyle w:val="BodyText"/>
        <w:spacing w:line="412" w:lineRule="auto" w:before="131"/>
        <w:ind w:right="115"/>
      </w:pP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292" w:lineRule="auto" w:before="6"/>
        <w:ind w:right="298"/>
      </w:pP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292" w:lineRule="auto" w:before="123"/>
        <w:ind w:right="298"/>
      </w:pP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32"/>
      </w:pP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292" w:lineRule="auto" w:before="123"/>
      </w:pP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Presenter, “Technological Advancements in Tax Practice and the Impact of The Inflation</w:t>
      </w:r>
      <w:r>
        <w:rPr>
          <w:color w:val="6E6158"/>
          <w:spacing w:val="40"/>
        </w:rPr>
        <w:t> </w:t>
      </w:r>
      <w:r>
        <w:rPr>
          <w:color w:val="6E6158"/>
        </w:rPr>
        <w:t>Reduction Act on the IRS’s Capabilities and Service,” ABA Tax Section, October 2022, December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2"/>
      </w:pP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292" w:lineRule="auto" w:before="124"/>
      </w:pP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Presenter, “Virtual Currencies – What Are They and How Are They Taxed?,”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right="393"/>
      </w:pP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292" w:lineRule="auto" w:before="132"/>
        <w:ind w:right="115"/>
      </w:pPr>
      <w:r>
        <w:rPr>
          <w:color w:val="6E6158"/>
        </w:rPr>
        <w:t>Presenter, “A Fireside Chat with Tax Expert, Travis Thompson,” Blue J Legal Virtual Meeting, March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</w:pP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31"/>
        <w:ind w:right="298"/>
      </w:pP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Presenter, “Update on John Doe Summonses to Cryptocurrency Exchanges Kraken and </w:t>
      </w:r>
      <w:r>
        <w:rPr>
          <w:color w:val="6E6158"/>
        </w:rPr>
        <w:t>Circle,” ABA Tax Section, March 2021</w:t>
      </w:r>
    </w:p>
    <w:p>
      <w:pPr>
        <w:pStyle w:val="BodyText"/>
        <w:spacing w:line="292" w:lineRule="auto" w:before="130"/>
        <w:ind w:right="298"/>
      </w:pPr>
      <w:r>
        <w:rPr>
          <w:color w:val="6E6158"/>
        </w:rPr>
        <w:t>Presenter, “Updated Cryptocurrency FAQs. Is Trouble on the Horizon?,” ABA Tax Section, March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302" w:lineRule="auto" w:before="123"/>
        <w:ind w:right="393"/>
      </w:pP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13"/>
        <w:ind w:right="298"/>
      </w:pP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302" w:lineRule="auto" w:before="123"/>
        <w:ind w:right="115"/>
      </w:pP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292" w:lineRule="auto" w:before="113"/>
        <w:ind w:right="115"/>
      </w:pP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298"/>
      </w:pP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24"/>
      </w:pP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298"/>
      </w:pP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292" w:lineRule="auto" w:before="112"/>
      </w:pP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292" w:lineRule="auto" w:before="132"/>
        <w:ind w:right="393"/>
      </w:pP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23"/>
        <w:ind w:right="362"/>
      </w:pP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292" w:lineRule="auto" w:before="118"/>
        <w:ind w:right="298"/>
      </w:pP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302" w:lineRule="auto" w:before="123"/>
        <w:ind w:right="298"/>
      </w:pP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292" w:lineRule="auto" w:before="132"/>
      </w:pP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93"/>
      </w:pP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3"/>
      </w:pP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3585"/>
      </w:pP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www.fennemorelaw.com/could-you-be-owed-a-covid-era-tax-refund-what-businesses-should-know-now/" TargetMode="External"/><Relationship Id="rId14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2026-06-12T09:39:53Z</dcterms:created>
  <dcterms:modified xsi:type="dcterms:W3CDTF">2026-06-12T09:39:53Z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