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ravis Thomp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59739" y="763308"/>
                            <a:ext cx="140081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TRAVIS THOMPSON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Tax</w:t>
                                </w:r>
                                <w:r>
                                  <w:rPr>
                                    <w:color w:val="FFFFFF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Law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15800" y="213349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Walnut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243413" y="2603719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743071" y="2975766"/>
                            <a:ext cx="16338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tthompson@fennemorelaw.com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Travis Thompson Bio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14;top:-4635;width:220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TRAVIS THOMPSON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Tax</w:t>
                          </w:r>
                          <w:r>
                            <w:rPr>
                              <w:color w:val="FFFFF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Law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5;top:-2477;width:1085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Walnut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Creek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510.622.7561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8018;top:-1737;width:99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510.622.7561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230;top:-1151;width:2573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tthompson@fennemorelaw.com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TRAVIS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THOMPSON</w:t>
      </w:r>
    </w:p>
    <w:p>
      <w:pPr>
        <w:pStyle w:val="BodyText"/>
        <w:spacing w:before="147"/>
      </w:pPr>
      <w:r>
        <w:rPr>
          <w:color w:val="6E6158"/>
        </w:rPr>
        <w:t>Travis</w:t>
      </w:r>
      <w:r>
        <w:rPr>
          <w:color w:val="6E6158"/>
          <w:spacing w:val="10"/>
        </w:rPr>
        <w:t> </w:t>
      </w:r>
      <w:r>
        <w:rPr>
          <w:color w:val="6E6158"/>
        </w:rPr>
        <w:t>Thompson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Director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Fennemore’s</w:t>
      </w:r>
      <w:r>
        <w:rPr>
          <w:color w:val="6E6158"/>
          <w:spacing w:val="11"/>
        </w:rPr>
        <w:t> </w:t>
      </w:r>
      <w:hyperlink r:id="rId12">
        <w:r>
          <w:rPr>
            <w:color w:val="F5821F"/>
          </w:rPr>
          <w:t>Business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Finance</w:t>
        </w:r>
      </w:hyperlink>
      <w:r>
        <w:rPr>
          <w:color w:val="F5821F"/>
          <w:spacing w:val="11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group.</w:t>
      </w:r>
      <w:r>
        <w:rPr>
          <w:color w:val="6E6158"/>
          <w:spacing w:val="11"/>
        </w:rPr>
        <w:t> </w:t>
      </w:r>
      <w:r>
        <w:rPr>
          <w:color w:val="6E6158"/>
        </w:rPr>
        <w:t>Travis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advises</w:t>
      </w:r>
    </w:p>
    <w:p>
      <w:pPr>
        <w:pStyle w:val="BodyText"/>
        <w:spacing w:line="292" w:lineRule="auto" w:before="52"/>
        <w:ind w:right="115"/>
      </w:pPr>
      <w:r>
        <w:rPr>
          <w:color w:val="6E6158"/>
        </w:rPr>
        <w:t>individual, corporate, and nonprofit clients on a broad spectrum of tax matters, with a particular</w:t>
      </w:r>
      <w:r>
        <w:rPr>
          <w:color w:val="6E6158"/>
          <w:spacing w:val="40"/>
        </w:rPr>
        <w:t> </w:t>
      </w:r>
      <w:r>
        <w:rPr>
          <w:color w:val="6E6158"/>
        </w:rPr>
        <w:t>emphasis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tax</w:t>
      </w:r>
      <w:r>
        <w:rPr>
          <w:color w:val="6E6158"/>
          <w:spacing w:val="38"/>
        </w:rPr>
        <w:t> </w:t>
      </w:r>
      <w:r>
        <w:rPr>
          <w:color w:val="6E6158"/>
        </w:rPr>
        <w:t>litigation,</w:t>
      </w:r>
      <w:r>
        <w:rPr>
          <w:color w:val="6E6158"/>
          <w:spacing w:val="38"/>
        </w:rPr>
        <w:t> </w:t>
      </w:r>
      <w:r>
        <w:rPr>
          <w:color w:val="6E6158"/>
        </w:rPr>
        <w:t>refund</w:t>
      </w:r>
      <w:r>
        <w:rPr>
          <w:color w:val="6E6158"/>
          <w:spacing w:val="38"/>
        </w:rPr>
        <w:t> </w:t>
      </w:r>
      <w:r>
        <w:rPr>
          <w:color w:val="6E6158"/>
        </w:rPr>
        <w:t>claims,</w:t>
      </w:r>
      <w:r>
        <w:rPr>
          <w:color w:val="6E6158"/>
          <w:spacing w:val="38"/>
        </w:rPr>
        <w:t> </w:t>
      </w:r>
      <w:r>
        <w:rPr>
          <w:color w:val="6E6158"/>
        </w:rPr>
        <w:t>voluntary</w:t>
      </w:r>
      <w:r>
        <w:rPr>
          <w:color w:val="6E6158"/>
          <w:spacing w:val="38"/>
        </w:rPr>
        <w:t> </w:t>
      </w:r>
      <w:r>
        <w:rPr>
          <w:color w:val="6E6158"/>
        </w:rPr>
        <w:t>disclosures,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cross-border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</w:p>
    <w:p>
      <w:pPr>
        <w:pStyle w:val="BodyText"/>
        <w:spacing w:before="9"/>
      </w:pPr>
      <w:r>
        <w:rPr>
          <w:color w:val="6E6158"/>
          <w:spacing w:val="-2"/>
        </w:rPr>
        <w:t>issues.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right="298"/>
      </w:pPr>
      <w:r>
        <w:rPr>
          <w:color w:val="6E6158"/>
        </w:rPr>
        <w:t>Travis brings deep experience from over a decade of practice, including managing the </w:t>
      </w:r>
      <w:r>
        <w:rPr>
          <w:color w:val="6E6158"/>
        </w:rPr>
        <w:t>largest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25"/>
        </w:rPr>
        <w:t> </w:t>
      </w:r>
      <w:r>
        <w:rPr>
          <w:color w:val="6E6158"/>
        </w:rPr>
        <w:t>FBAR</w:t>
      </w:r>
      <w:r>
        <w:rPr>
          <w:color w:val="6E6158"/>
          <w:spacing w:val="25"/>
        </w:rPr>
        <w:t> </w:t>
      </w:r>
      <w:r>
        <w:rPr>
          <w:color w:val="6E6158"/>
        </w:rPr>
        <w:t>matter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U.S.</w:t>
      </w:r>
      <w:r>
        <w:rPr>
          <w:color w:val="6E6158"/>
          <w:spacing w:val="25"/>
        </w:rPr>
        <w:t> </w:t>
      </w:r>
      <w:r>
        <w:rPr>
          <w:color w:val="6E6158"/>
        </w:rPr>
        <w:t>Department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Justice</w:t>
      </w:r>
      <w:r>
        <w:rPr>
          <w:color w:val="6E6158"/>
          <w:spacing w:val="25"/>
        </w:rPr>
        <w:t> </w:t>
      </w:r>
      <w:r>
        <w:rPr>
          <w:color w:val="6E6158"/>
        </w:rPr>
        <w:t>history.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represented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IRS</w:t>
      </w:r>
      <w:r>
        <w:rPr>
          <w:color w:val="6E6158"/>
          <w:spacing w:val="25"/>
        </w:rPr>
        <w:t> </w:t>
      </w:r>
      <w:r>
        <w:rPr>
          <w:color w:val="6E6158"/>
        </w:rPr>
        <w:t>refund</w:t>
      </w:r>
    </w:p>
    <w:p>
      <w:pPr>
        <w:pStyle w:val="BodyText"/>
        <w:spacing w:line="295" w:lineRule="auto" w:before="1"/>
        <w:ind w:right="115"/>
      </w:pPr>
      <w:r>
        <w:rPr>
          <w:color w:val="6E6158"/>
        </w:rPr>
        <w:t>litigation, FBAR and international tax compliance, cryptocurrency tax matters, and tax-related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civil</w:t>
      </w:r>
      <w:r>
        <w:rPr>
          <w:color w:val="6E6158"/>
          <w:spacing w:val="17"/>
        </w:rPr>
        <w:t> </w:t>
      </w:r>
      <w:r>
        <w:rPr>
          <w:color w:val="6E6158"/>
        </w:rPr>
        <w:t>trials.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work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negotiating</w:t>
      </w:r>
      <w:r>
        <w:rPr>
          <w:color w:val="6E6158"/>
          <w:spacing w:val="17"/>
        </w:rPr>
        <w:t> </w:t>
      </w:r>
      <w:r>
        <w:rPr>
          <w:color w:val="6E6158"/>
        </w:rPr>
        <w:t>significant</w:t>
      </w:r>
      <w:r>
        <w:rPr>
          <w:color w:val="6E6158"/>
          <w:spacing w:val="17"/>
        </w:rPr>
        <w:t> </w:t>
      </w:r>
      <w:r>
        <w:rPr>
          <w:color w:val="6E6158"/>
        </w:rPr>
        <w:t>tax</w:t>
      </w:r>
      <w:r>
        <w:rPr>
          <w:color w:val="6E6158"/>
          <w:spacing w:val="17"/>
        </w:rPr>
        <w:t> </w:t>
      </w:r>
      <w:r>
        <w:rPr>
          <w:color w:val="6E6158"/>
        </w:rPr>
        <w:t>settlements,</w:t>
      </w:r>
      <w:r>
        <w:rPr>
          <w:color w:val="6E6158"/>
          <w:spacing w:val="17"/>
        </w:rPr>
        <w:t> </w:t>
      </w:r>
      <w:r>
        <w:rPr>
          <w:color w:val="6E6158"/>
        </w:rPr>
        <w:t>defending</w:t>
      </w:r>
      <w:r>
        <w:rPr>
          <w:color w:val="6E6158"/>
          <w:spacing w:val="17"/>
        </w:rPr>
        <w:t> </w:t>
      </w:r>
      <w:r>
        <w:rPr>
          <w:color w:val="6E6158"/>
        </w:rPr>
        <w:t>clients in court, and advising on cutting-edge issues involving AI, digital assets, and data analytics in tax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administration.</w:t>
      </w:r>
    </w:p>
    <w:p>
      <w:pPr>
        <w:pStyle w:val="BodyText"/>
        <w:spacing w:line="295" w:lineRule="auto" w:before="204"/>
        <w:ind w:right="298"/>
      </w:pPr>
      <w:r>
        <w:rPr>
          <w:color w:val="6E6158"/>
        </w:rPr>
        <w:t>A prolific thought leader, Travis is widely published and frequently invited to speak at leading industry conferences across the U.S. and internationally. He has authored influential articles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topics ranging from AI in tax enforcement to the ethical implications of big data and cryptocurrency reporting. As founder and chair of the ABA Tax Section’s Tax Practice &amp; Technology</w:t>
      </w:r>
      <w:r>
        <w:rPr>
          <w:color w:val="6E6158"/>
          <w:spacing w:val="24"/>
        </w:rPr>
        <w:t> </w:t>
      </w:r>
      <w:r>
        <w:rPr>
          <w:color w:val="6E6158"/>
        </w:rPr>
        <w:t>Committee,</w:t>
      </w:r>
      <w:r>
        <w:rPr>
          <w:color w:val="6E6158"/>
          <w:spacing w:val="24"/>
        </w:rPr>
        <w:t> </w:t>
      </w:r>
      <w:r>
        <w:rPr>
          <w:color w:val="6E6158"/>
        </w:rPr>
        <w:t>Travis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key</w:t>
      </w:r>
      <w:r>
        <w:rPr>
          <w:color w:val="6E6158"/>
          <w:spacing w:val="24"/>
        </w:rPr>
        <w:t> </w:t>
      </w:r>
      <w:r>
        <w:rPr>
          <w:color w:val="6E6158"/>
        </w:rPr>
        <w:t>voice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intersection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tax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technological</w:t>
      </w:r>
    </w:p>
    <w:p>
      <w:pPr>
        <w:pStyle w:val="BodyText"/>
        <w:spacing w:line="232" w:lineRule="exact"/>
      </w:pPr>
      <w:r>
        <w:rPr>
          <w:color w:val="6E6158"/>
          <w:spacing w:val="-2"/>
        </w:rPr>
        <w:t>innovation.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1"/>
        <w:ind w:right="284"/>
        <w:jc w:val="both"/>
      </w:pPr>
      <w:r>
        <w:rPr>
          <w:color w:val="6E6158"/>
        </w:rPr>
        <w:t>Travis holds an LL.M. in Taxation and earned his law degree from Golden Gate University School</w:t>
      </w:r>
      <w:r>
        <w:rPr>
          <w:color w:val="6E6158"/>
          <w:spacing w:val="40"/>
        </w:rPr>
        <w:t> </w:t>
      </w:r>
      <w:r>
        <w:rPr>
          <w:color w:val="6E6158"/>
        </w:rPr>
        <w:t>of Law, and a Certificate in Artificial Intelligence and Business Strategy from MIT Sloan School of Management.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holds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B.A.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Philosophy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Berkeley.</w:t>
      </w:r>
    </w:p>
    <w:p>
      <w:pPr>
        <w:pStyle w:val="BodyText"/>
        <w:spacing w:line="292" w:lineRule="auto" w:before="191"/>
        <w:ind w:right="400"/>
        <w:jc w:val="both"/>
      </w:pPr>
      <w:r>
        <w:rPr>
          <w:color w:val="6E6158"/>
        </w:rPr>
        <w:t>In his free time, Travis enjoys kayaking, hiking, and traveling with his family, singing, and rooting for the California Golden Bears.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292" w:lineRule="auto"/>
        <w:ind w:right="393"/>
      </w:pPr>
      <w:r>
        <w:rPr>
          <w:color w:val="6E6158"/>
        </w:rPr>
        <w:t>MIT Sloan School of Management, Certificate in Artificial Intelligence and Implications </w:t>
      </w:r>
      <w:r>
        <w:rPr>
          <w:color w:val="6E6158"/>
        </w:rPr>
        <w:t>for Business Strategy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Golden</w:t>
      </w:r>
      <w:r>
        <w:rPr>
          <w:color w:val="6E6158"/>
          <w:spacing w:val="12"/>
        </w:rPr>
        <w:t> </w:t>
      </w:r>
      <w:r>
        <w:rPr>
          <w:color w:val="6E6158"/>
        </w:rPr>
        <w:t>Gate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>
          <w:color w:val="6E6158"/>
        </w:rPr>
        <w:t>L.L.M.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Taxation,</w:t>
      </w:r>
      <w:r>
        <w:rPr>
          <w:color w:val="6E6158"/>
          <w:spacing w:val="10"/>
        </w:rPr>
        <w:t> </w:t>
      </w:r>
      <w:r>
        <w:rPr>
          <w:color w:val="6E6158"/>
        </w:rPr>
        <w:t>Golden</w:t>
      </w:r>
      <w:r>
        <w:rPr>
          <w:color w:val="6E6158"/>
          <w:spacing w:val="9"/>
        </w:rPr>
        <w:t> </w:t>
      </w:r>
      <w:r>
        <w:rPr>
          <w:color w:val="6E6158"/>
        </w:rPr>
        <w:t>Gate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82"/>
      </w:pPr>
      <w:r>
        <w:rPr>
          <w:color w:val="6E6158"/>
        </w:rPr>
        <w:t>B.A.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Philosophy,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>
          <w:color w:val="6E6158"/>
        </w:rPr>
        <w:t>Artificial</w:t>
      </w:r>
      <w:r>
        <w:rPr>
          <w:color w:val="6E6158"/>
          <w:spacing w:val="15"/>
        </w:rPr>
        <w:t> </w:t>
      </w:r>
      <w:r>
        <w:rPr>
          <w:color w:val="6E6158"/>
        </w:rPr>
        <w:t>Intelligence</w:t>
      </w:r>
      <w:r>
        <w:rPr>
          <w:color w:val="6E6158"/>
          <w:spacing w:val="16"/>
        </w:rPr>
        <w:t> </w:t>
      </w:r>
      <w:r>
        <w:rPr>
          <w:color w:val="6E6158"/>
        </w:rPr>
        <w:t>Counseling</w:t>
      </w:r>
      <w:r>
        <w:rPr>
          <w:color w:val="6E6158"/>
          <w:spacing w:val="16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Governance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 w:before="1"/>
        <w:ind w:right="1748"/>
      </w:pPr>
      <w:r>
        <w:rPr>
          <w:color w:val="6E6158"/>
        </w:rPr>
        <w:t>Authored a petition for writ of certiorari to the United States Supreme Court Negotiated a $150,000 Tax Court settlement in an innocent spouse refund </w:t>
      </w:r>
      <w:r>
        <w:rPr>
          <w:color w:val="6E6158"/>
        </w:rPr>
        <w:t>case</w:t>
      </w:r>
    </w:p>
    <w:p>
      <w:pPr>
        <w:pStyle w:val="BodyText"/>
        <w:spacing w:line="292" w:lineRule="auto"/>
        <w:ind w:right="298"/>
      </w:pPr>
      <w:r>
        <w:rPr>
          <w:color w:val="6E6158"/>
        </w:rPr>
        <w:t>Managed all aspects of district court refund litigation for former Major League Baseball </w:t>
      </w:r>
      <w:r>
        <w:rPr>
          <w:color w:val="6E6158"/>
        </w:rPr>
        <w:t>team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owner</w:t>
      </w:r>
    </w:p>
    <w:p>
      <w:pPr>
        <w:pStyle w:val="BodyText"/>
        <w:spacing w:before="129"/>
      </w:pPr>
      <w:r>
        <w:rPr>
          <w:color w:val="6E6158"/>
        </w:rPr>
        <w:t>Negotiated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accuracy-related</w:t>
      </w:r>
      <w:r>
        <w:rPr>
          <w:color w:val="6E6158"/>
          <w:spacing w:val="12"/>
        </w:rPr>
        <w:t> </w:t>
      </w:r>
      <w:r>
        <w:rPr>
          <w:color w:val="6E6158"/>
        </w:rPr>
        <w:t>penalty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client</w:t>
      </w:r>
      <w:r>
        <w:rPr>
          <w:color w:val="6E6158"/>
          <w:spacing w:val="13"/>
        </w:rPr>
        <w:t> </w:t>
      </w:r>
      <w:r>
        <w:rPr>
          <w:color w:val="6E6158"/>
        </w:rPr>
        <w:t>thrown</w:t>
      </w:r>
      <w:r>
        <w:rPr>
          <w:color w:val="6E6158"/>
          <w:spacing w:val="13"/>
        </w:rPr>
        <w:t> </w:t>
      </w:r>
      <w:r>
        <w:rPr>
          <w:color w:val="6E6158"/>
        </w:rPr>
        <w:t>out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voluntary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disclosure</w:t>
      </w:r>
    </w:p>
    <w:p>
      <w:pPr>
        <w:pStyle w:val="BodyText"/>
        <w:spacing w:line="295" w:lineRule="auto" w:before="174"/>
        <w:ind w:right="298"/>
      </w:pPr>
      <w:r>
        <w:rPr>
          <w:color w:val="6E6158"/>
        </w:rPr>
        <w:t>Represented individual and corporate clients in negotiations in tax audits, collections cases,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appeals, and litigation matters before the U.S Department of Justice, Internal Revenue Service,</w:t>
      </w:r>
      <w:r>
        <w:rPr>
          <w:color w:val="6E6158"/>
          <w:spacing w:val="40"/>
        </w:rPr>
        <w:t> </w:t>
      </w:r>
      <w:r>
        <w:rPr>
          <w:color w:val="6E6158"/>
        </w:rPr>
        <w:t>California Franchise Tax Board, California Department of Tax and Fee Administration, and the</w:t>
      </w:r>
      <w:r>
        <w:rPr>
          <w:color w:val="6E6158"/>
          <w:spacing w:val="40"/>
        </w:rPr>
        <w:t> </w:t>
      </w:r>
      <w:r>
        <w:rPr>
          <w:color w:val="6E6158"/>
        </w:rPr>
        <w:t>Office of Tax Appeals</w:t>
      </w:r>
    </w:p>
    <w:p>
      <w:pPr>
        <w:pStyle w:val="BodyText"/>
        <w:spacing w:line="420" w:lineRule="auto" w:before="124"/>
        <w:ind w:right="1748"/>
      </w:pPr>
      <w:r>
        <w:rPr>
          <w:color w:val="6E6158"/>
        </w:rPr>
        <w:t>Successfully represented multiple clients in California property tax </w:t>
      </w:r>
      <w:r>
        <w:rPr>
          <w:color w:val="6E6158"/>
        </w:rPr>
        <w:t>appeals Advised</w:t>
      </w:r>
      <w:r>
        <w:rPr>
          <w:color w:val="6E6158"/>
          <w:spacing w:val="11"/>
        </w:rPr>
        <w:t> </w: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persons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FBAR,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2"/>
        </w:rPr>
        <w:t> </w:t>
      </w:r>
      <w:r>
        <w:rPr>
          <w:color w:val="6E6158"/>
        </w:rPr>
        <w:t>3520,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Form</w:t>
      </w:r>
      <w:r>
        <w:rPr>
          <w:color w:val="6E6158"/>
          <w:spacing w:val="11"/>
        </w:rPr>
        <w:t> </w:t>
      </w:r>
      <w:r>
        <w:rPr>
          <w:color w:val="6E6158"/>
        </w:rPr>
        <w:t>5471</w:t>
      </w:r>
      <w:r>
        <w:rPr>
          <w:color w:val="6E6158"/>
          <w:spacing w:val="11"/>
        </w:rPr>
        <w:t> </w:t>
      </w:r>
      <w:r>
        <w:rPr>
          <w:color w:val="6E6158"/>
        </w:rPr>
        <w:t>filing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obligations.</w:t>
      </w:r>
    </w:p>
    <w:p>
      <w:pPr>
        <w:pStyle w:val="BodyText"/>
        <w:spacing w:line="302" w:lineRule="auto"/>
        <w:ind w:right="298"/>
      </w:pPr>
      <w:r>
        <w:rPr>
          <w:color w:val="6E6158"/>
        </w:rPr>
        <w:t>Managed all aspects of litigation for the largest civil FBAR case in U.S. Department of Justice</w:t>
      </w:r>
      <w:r>
        <w:rPr>
          <w:color w:val="6E6158"/>
          <w:spacing w:val="40"/>
        </w:rPr>
        <w:t> </w:t>
      </w:r>
      <w:r>
        <w:rPr>
          <w:color w:val="6E6158"/>
        </w:rPr>
        <w:t>history,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research,</w:t>
      </w:r>
      <w:r>
        <w:rPr>
          <w:color w:val="6E6158"/>
          <w:spacing w:val="40"/>
        </w:rPr>
        <w:t> </w:t>
      </w:r>
      <w:r>
        <w:rPr>
          <w:color w:val="6E6158"/>
        </w:rPr>
        <w:t>strategy,</w:t>
      </w:r>
      <w:r>
        <w:rPr>
          <w:color w:val="6E6158"/>
          <w:spacing w:val="40"/>
        </w:rPr>
        <w:t> </w:t>
      </w:r>
      <w:r>
        <w:rPr>
          <w:color w:val="6E6158"/>
        </w:rPr>
        <w:t>preparing</w:t>
      </w:r>
      <w:r>
        <w:rPr>
          <w:color w:val="6E6158"/>
          <w:spacing w:val="40"/>
        </w:rPr>
        <w:t> </w:t>
      </w:r>
      <w:r>
        <w:rPr>
          <w:color w:val="6E6158"/>
        </w:rPr>
        <w:t>pleadings,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substantive</w:t>
      </w:r>
      <w:r>
        <w:rPr>
          <w:color w:val="6E6158"/>
          <w:spacing w:val="40"/>
        </w:rPr>
        <w:t> </w:t>
      </w:r>
      <w:r>
        <w:rPr>
          <w:color w:val="6E6158"/>
        </w:rPr>
        <w:t>motions.</w:t>
      </w:r>
    </w:p>
    <w:p>
      <w:pPr>
        <w:pStyle w:val="BodyText"/>
        <w:spacing w:line="292" w:lineRule="auto" w:before="111"/>
        <w:ind w:right="115"/>
      </w:pPr>
      <w:r>
        <w:rPr>
          <w:color w:val="6E6158"/>
        </w:rPr>
        <w:t>Secured a major national bank reimbursement for a high-net worth family in a credit card fraud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case.</w:t>
      </w:r>
    </w:p>
    <w:p>
      <w:pPr>
        <w:pStyle w:val="BodyText"/>
        <w:spacing w:line="420" w:lineRule="auto" w:before="131"/>
        <w:ind w:right="1748"/>
      </w:pPr>
      <w:r>
        <w:rPr>
          <w:color w:val="6E6158"/>
        </w:rPr>
        <w:t>Successfully represented a non-profit in an IRS penalty abatement case. Successfully represented multiple pro bono clients in innocent spouse </w:t>
      </w:r>
      <w:r>
        <w:rPr>
          <w:color w:val="6E6158"/>
        </w:rPr>
        <w:t>cases.</w:t>
      </w:r>
    </w:p>
    <w:p>
      <w:pPr>
        <w:pStyle w:val="BodyText"/>
        <w:spacing w:line="292" w:lineRule="auto"/>
        <w:ind w:right="298"/>
      </w:pPr>
      <w:r>
        <w:rPr>
          <w:color w:val="6E6158"/>
        </w:rPr>
        <w:t>Successfully represented clients at trial and on appeal in a civil harassment restraining order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matter.</w:t>
      </w:r>
    </w:p>
    <w:p>
      <w:pPr>
        <w:pStyle w:val="BodyText"/>
        <w:spacing w:before="130"/>
      </w:pPr>
      <w:r>
        <w:rPr>
          <w:color w:val="6E6158"/>
        </w:rPr>
        <w:t>Successfully</w:t>
      </w:r>
      <w:r>
        <w:rPr>
          <w:color w:val="6E6158"/>
          <w:spacing w:val="14"/>
        </w:rPr>
        <w:t> </w:t>
      </w:r>
      <w:r>
        <w:rPr>
          <w:color w:val="6E6158"/>
        </w:rPr>
        <w:t>represented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major</w:t>
      </w:r>
      <w:r>
        <w:rPr>
          <w:color w:val="6E6158"/>
          <w:spacing w:val="14"/>
        </w:rPr>
        <w:t> </w:t>
      </w:r>
      <w:r>
        <w:rPr>
          <w:color w:val="6E6158"/>
        </w:rPr>
        <w:t>technology</w:t>
      </w:r>
      <w:r>
        <w:rPr>
          <w:color w:val="6E6158"/>
          <w:spacing w:val="15"/>
        </w:rPr>
        <w:t> </w:t>
      </w:r>
      <w:r>
        <w:rPr>
          <w:color w:val="6E6158"/>
        </w:rPr>
        <w:t>corporation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work-place</w:t>
      </w:r>
      <w:r>
        <w:rPr>
          <w:color w:val="6E6158"/>
          <w:spacing w:val="15"/>
        </w:rPr>
        <w:t> </w:t>
      </w:r>
      <w:r>
        <w:rPr>
          <w:color w:val="6E6158"/>
        </w:rPr>
        <w:t>restraining</w:t>
      </w:r>
      <w:r>
        <w:rPr>
          <w:color w:val="6E6158"/>
          <w:spacing w:val="14"/>
        </w:rPr>
        <w:t> </w:t>
      </w:r>
      <w:r>
        <w:rPr>
          <w:color w:val="6E6158"/>
        </w:rPr>
        <w:t>order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line="292" w:lineRule="auto" w:before="174"/>
        <w:ind w:right="393"/>
      </w:pPr>
      <w:r>
        <w:rPr>
          <w:color w:val="6E6158"/>
        </w:rPr>
        <w:t>Successfully managed all aspects of litigation in a criminal FBAR case, pre-trial </w:t>
      </w:r>
      <w:r>
        <w:rPr>
          <w:color w:val="6E6158"/>
        </w:rPr>
        <w:t>through </w:t>
      </w:r>
      <w:r>
        <w:rPr>
          <w:color w:val="6E6158"/>
          <w:spacing w:val="-2"/>
        </w:rPr>
        <w:t>sentencing.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15" w:lineRule="auto" w:before="254"/>
        <w:ind w:left="99" w:right="2764" w:firstLine="0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Star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z w:val="19"/>
        </w:rPr>
        <w:t>2026 Best Lawyers, One to Watch, 2024</w:t>
      </w:r>
    </w:p>
    <w:p>
      <w:pPr>
        <w:pStyle w:val="BodyText"/>
        <w:spacing w:before="4"/>
      </w:pP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Section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Taxation</w:t>
      </w:r>
      <w:r>
        <w:rPr>
          <w:color w:val="6E6158"/>
          <w:spacing w:val="14"/>
        </w:rPr>
        <w:t> </w:t>
      </w:r>
      <w:r>
        <w:rPr>
          <w:color w:val="6E6158"/>
        </w:rPr>
        <w:t>Nolan</w:t>
      </w:r>
      <w:r>
        <w:rPr>
          <w:color w:val="6E6158"/>
          <w:spacing w:val="13"/>
        </w:rPr>
        <w:t> </w:t>
      </w:r>
      <w:r>
        <w:rPr>
          <w:color w:val="6E6158"/>
        </w:rPr>
        <w:t>Fellowship,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Could You Be Owed a COVID-Era Tax Refund? What Businesses Should Know Now</w:t>
        </w:r>
      </w:hyperlink>
      <w:r>
        <w:rPr>
          <w:color w:val="6E6158"/>
        </w:rPr>
        <w:t>,” Fennemore Blog, April 13, 2026</w:t>
      </w:r>
    </w:p>
    <w:p>
      <w:pPr>
        <w:pStyle w:val="BodyText"/>
        <w:spacing w:line="292" w:lineRule="auto" w:before="132"/>
        <w:ind w:right="298"/>
      </w:pPr>
      <w:r>
        <w:rPr>
          <w:color w:val="6E6158"/>
        </w:rPr>
        <w:t>Speaker, “</w:t>
      </w:r>
      <w:hyperlink r:id="rId14">
        <w:r>
          <w:rPr>
            <w:color w:val="F5821F"/>
          </w:rPr>
          <w:t>Estate Planning for the Real Estate and Agricultural Property Owner (E&amp;G)</w:t>
        </w:r>
      </w:hyperlink>
      <w:r>
        <w:rPr>
          <w:color w:val="6E6158"/>
        </w:rPr>
        <w:t>,” 2025 California All-Tax Conference, California Lawyers Association, November 14, 2025</w:t>
      </w:r>
    </w:p>
    <w:p>
      <w:pPr>
        <w:pStyle w:val="BodyText"/>
        <w:spacing w:line="292" w:lineRule="auto" w:before="123"/>
        <w:ind w:right="115"/>
      </w:pPr>
      <w:r>
        <w:rPr>
          <w:color w:val="6E6158"/>
        </w:rPr>
        <w:t>Commentary, “White House Plan Could Prompt IRS to Expand Use of AI,”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July 2025</w:t>
      </w:r>
    </w:p>
    <w:p>
      <w:pPr>
        <w:pStyle w:val="BodyText"/>
        <w:spacing w:line="292" w:lineRule="auto" w:before="131"/>
        <w:ind w:right="296"/>
      </w:pPr>
      <w:r>
        <w:rPr>
          <w:color w:val="6E6158"/>
        </w:rPr>
        <w:t>Commentary, “Oversight of IRS AI and Data Analytics Faces Setback,”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July 2025</w:t>
      </w:r>
    </w:p>
    <w:p>
      <w:pPr>
        <w:pStyle w:val="BodyText"/>
        <w:spacing w:line="292" w:lineRule="auto" w:before="124"/>
      </w:pPr>
      <w:r>
        <w:rPr>
          <w:color w:val="6E6158"/>
        </w:rPr>
        <w:t>Presenter, “The Benefits and Detriments of Using Artificial Intelligence in Tax Practice,” NYU SPS Tax Controversy Forum, June 2025</w:t>
      </w:r>
    </w:p>
    <w:p>
      <w:pPr>
        <w:pStyle w:val="BodyText"/>
        <w:spacing w:line="292" w:lineRule="auto" w:before="131"/>
        <w:ind w:right="393"/>
      </w:pPr>
      <w:r>
        <w:rPr>
          <w:color w:val="6E6158"/>
        </w:rPr>
        <w:t>Contributor, “Proposed Amendments to Real Property Tax Act Withholding Exemption,” Tax Notes, Tax Analysts, June 2025</w:t>
      </w:r>
    </w:p>
    <w:p>
      <w:pPr>
        <w:pStyle w:val="BodyText"/>
        <w:spacing w:line="292" w:lineRule="auto" w:before="123"/>
        <w:ind w:right="393"/>
      </w:pPr>
      <w:r>
        <w:rPr>
          <w:color w:val="6E6158"/>
        </w:rPr>
        <w:t>Commentary, “Artificial Intelligence and the Future of Tax: Insights From Survey Results,” Tax Notes, Tax Analysts, June 2025</w:t>
      </w:r>
    </w:p>
    <w:p>
      <w:pPr>
        <w:pStyle w:val="BodyText"/>
        <w:spacing w:line="292" w:lineRule="auto" w:before="132"/>
        <w:ind w:right="296"/>
      </w:pPr>
      <w:r>
        <w:rPr>
          <w:color w:val="6E6158"/>
        </w:rPr>
        <w:t>Commentary, “California Tax Agency Ramping Up for Generative AI,” Tax Notes, Tax Analysts, May 2025</w:t>
      </w:r>
    </w:p>
    <w:p>
      <w:pPr>
        <w:pStyle w:val="BodyText"/>
        <w:spacing w:line="302" w:lineRule="auto" w:before="123"/>
        <w:ind w:right="115"/>
      </w:pPr>
      <w:r>
        <w:rPr>
          <w:color w:val="6E6158"/>
        </w:rPr>
        <w:t>Commentary, “State Tax Administrators Are Studying the Use of Generative AI,” Tax Notes, Tax Analysts, April 2025</w:t>
      </w:r>
    </w:p>
    <w:p>
      <w:pPr>
        <w:pStyle w:val="BodyText"/>
        <w:spacing w:line="292" w:lineRule="auto" w:before="113"/>
        <w:ind w:right="115"/>
      </w:pPr>
      <w:r>
        <w:rPr>
          <w:color w:val="6E6158"/>
        </w:rPr>
        <w:t>Commentary, “Attorneys Oppose Dismantling of DOJ Tax Division,” Tax Notes, Tax Analysts, April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23"/>
        <w:ind w:right="298"/>
      </w:pPr>
      <w:r>
        <w:rPr>
          <w:color w:val="6E6158"/>
        </w:rPr>
        <w:t>Co-Chair and Presenter, “What to Do with All the Data?,” Annual ABA and IBA Tax Trends Meeting, Amsterdam, the Netherlands, April 2025</w:t>
      </w:r>
    </w:p>
    <w:p>
      <w:pPr>
        <w:pStyle w:val="BodyText"/>
        <w:spacing w:before="113"/>
      </w:pPr>
      <w:r>
        <w:rPr>
          <w:color w:val="6E6158"/>
        </w:rPr>
        <w:t>Commentary,</w:t>
      </w:r>
      <w:r>
        <w:rPr>
          <w:color w:val="6E6158"/>
          <w:spacing w:val="11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Angle:</w:t>
      </w:r>
      <w:r>
        <w:rPr>
          <w:color w:val="6E6158"/>
          <w:spacing w:val="12"/>
        </w:rPr>
        <w:t> </w:t>
      </w:r>
      <w:r>
        <w:rPr>
          <w:color w:val="6E6158"/>
        </w:rPr>
        <w:t>ABA</w:t>
      </w:r>
      <w:r>
        <w:rPr>
          <w:color w:val="6E6158"/>
          <w:spacing w:val="12"/>
        </w:rPr>
        <w:t> </w:t>
      </w:r>
      <w:r>
        <w:rPr>
          <w:color w:val="6E6158"/>
        </w:rPr>
        <w:t>Midyear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Meeting,”</w:t>
      </w:r>
      <w:r>
        <w:rPr>
          <w:color w:val="6E6158"/>
          <w:spacing w:val="12"/>
        </w:rPr>
        <w:t> </w:t>
      </w:r>
      <w:r>
        <w:rPr>
          <w:color w:val="6E6158"/>
        </w:rPr>
        <w:t>Law360,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>
          <w:color w:val="6E6158"/>
        </w:rPr>
        <w:t>Commentary, “IRS Artificial Intelligence Policy Could See Changes Under Trump,” Tax Notes, Tax Analysts, February 2025</w:t>
      </w:r>
    </w:p>
    <w:p>
      <w:pPr>
        <w:pStyle w:val="BodyText"/>
        <w:spacing w:line="292" w:lineRule="auto" w:before="131"/>
        <w:ind w:right="393"/>
      </w:pPr>
      <w:r>
        <w:rPr>
          <w:color w:val="6E6158"/>
        </w:rPr>
        <w:t>Commentary, “Crypto Industry Seeks to Strike Down DeFi Reporting Regs,” Tax Notes, Tax Analysts, December 2024</w:t>
      </w:r>
    </w:p>
    <w:p>
      <w:pPr>
        <w:pStyle w:val="BodyText"/>
        <w:spacing w:line="292" w:lineRule="auto" w:before="124"/>
      </w:pPr>
      <w:r>
        <w:rPr>
          <w:color w:val="6E6158"/>
        </w:rPr>
        <w:t>Presenter, “Legal Smackdown: AI Versus Tax Practitioner,” California Lawyers Association, Taxation Section, Annual Meeting, Anaheim, CA, November 2024</w:t>
      </w:r>
    </w:p>
    <w:p>
      <w:pPr>
        <w:pStyle w:val="BodyText"/>
        <w:spacing w:line="292" w:lineRule="auto" w:before="131"/>
        <w:ind w:right="298"/>
      </w:pPr>
      <w:r>
        <w:rPr>
          <w:color w:val="6E6158"/>
        </w:rPr>
        <w:t>Author, “Proposed Changes to Improve Refund Claim Processing,” Tax Notes Federal, October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3"/>
        <w:ind w:right="393"/>
      </w:pPr>
      <w:r>
        <w:rPr>
          <w:color w:val="6E6158"/>
        </w:rPr>
        <w:t>Presenter, “Technological Advancements in Tax Collection,” ABA Tax Section, Virtual Fall Meeting, September 2024</w:t>
      </w:r>
    </w:p>
    <w:p>
      <w:pPr>
        <w:pStyle w:val="BodyText"/>
        <w:spacing w:line="292" w:lineRule="auto" w:before="113"/>
      </w:pPr>
      <w:r>
        <w:rPr>
          <w:color w:val="6E6158"/>
        </w:rPr>
        <w:t>Commentary, “Pig Butchering Theft Losses May Evade TCJA Restrictions,”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August 2024</w:t>
      </w:r>
    </w:p>
    <w:p>
      <w:pPr>
        <w:pStyle w:val="BodyText"/>
        <w:spacing w:line="427" w:lineRule="auto" w:before="123"/>
        <w:ind w:right="298"/>
      </w:pPr>
      <w:r>
        <w:rPr>
          <w:color w:val="6E6158"/>
        </w:rPr>
        <w:t>Presenter, “AI and Practical Applications to Tax Practice,” Oregon Tax Institute, June 2024 Presenter, “Ethics – AI and Circular 230,” NYU Tax Controversy Forum, June 2024</w:t>
      </w:r>
    </w:p>
    <w:p>
      <w:pPr>
        <w:pStyle w:val="BodyText"/>
        <w:spacing w:line="292" w:lineRule="auto"/>
      </w:pPr>
      <w:r>
        <w:rPr>
          <w:color w:val="6E6158"/>
        </w:rPr>
        <w:t>Presenter, “The Role of Artificial Intelligence in Tax Controversy,” Agostino BBQ and Seminar, June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16"/>
        <w:ind w:right="298"/>
      </w:pPr>
      <w:r>
        <w:rPr>
          <w:color w:val="6E6158"/>
        </w:rPr>
        <w:t>Commentary, “Tax Professionals Embrace Generative AI Despite Pitfalls,” Tax Notes, Tax Analysts, May 2024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96"/>
      </w:pPr>
      <w:r>
        <w:rPr>
          <w:color w:val="6E6158"/>
        </w:rPr>
        <w:t>Presenter, “Ethics of Using Artificial Intelligence in Tax Practice,” FBA Insurance Tax Conference, May 2024</w:t>
      </w:r>
    </w:p>
    <w:p>
      <w:pPr>
        <w:pStyle w:val="BodyText"/>
        <w:spacing w:before="132"/>
      </w:pPr>
      <w:r>
        <w:rPr>
          <w:color w:val="6E6158"/>
        </w:rPr>
        <w:t>Commentary,</w:t>
      </w:r>
      <w:r>
        <w:rPr>
          <w:color w:val="6E6158"/>
          <w:spacing w:val="11"/>
        </w:rPr>
        <w:t> </w:t>
      </w:r>
      <w:r>
        <w:rPr>
          <w:color w:val="6E6158"/>
        </w:rPr>
        <w:t>“First</w:t>
      </w:r>
      <w:r>
        <w:rPr>
          <w:color w:val="6E6158"/>
          <w:spacing w:val="11"/>
        </w:rPr>
        <w:t> </w:t>
      </w:r>
      <w:r>
        <w:rPr>
          <w:color w:val="6E6158"/>
        </w:rPr>
        <w:t>Purely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Crypto</w:t>
      </w:r>
      <w:r>
        <w:rPr>
          <w:color w:val="6E6158"/>
          <w:spacing w:val="12"/>
        </w:rPr>
        <w:t> </w:t>
      </w:r>
      <w:r>
        <w:rPr>
          <w:color w:val="6E6158"/>
        </w:rPr>
        <w:t>Indictment</w:t>
      </w:r>
      <w:r>
        <w:rPr>
          <w:color w:val="6E6158"/>
          <w:spacing w:val="11"/>
        </w:rPr>
        <w:t> </w:t>
      </w:r>
      <w:r>
        <w:rPr>
          <w:color w:val="6E6158"/>
        </w:rPr>
        <w:t>Signals</w:t>
      </w:r>
      <w:r>
        <w:rPr>
          <w:color w:val="6E6158"/>
          <w:spacing w:val="12"/>
        </w:rPr>
        <w:t> </w:t>
      </w:r>
      <w:r>
        <w:rPr>
          <w:color w:val="6E6158"/>
        </w:rPr>
        <w:t>More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Tap,”</w:t>
      </w:r>
      <w:r>
        <w:rPr>
          <w:color w:val="6E6158"/>
          <w:spacing w:val="11"/>
        </w:rPr>
        <w:t> </w:t>
      </w:r>
      <w:r>
        <w:rPr>
          <w:color w:val="6E6158"/>
        </w:rPr>
        <w:t>Lax360,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</w:pPr>
      <w:r>
        <w:rPr>
          <w:color w:val="6E6158"/>
        </w:rPr>
        <w:t>Presenter, “The Structure of Revolutions in Taxation and the Law: Paradigm Shifts Caused by A.I.,” Plenary Luncheon, ABA Tax Section, January 2024</w:t>
      </w:r>
    </w:p>
    <w:p>
      <w:pPr>
        <w:pStyle w:val="BodyText"/>
        <w:spacing w:line="302" w:lineRule="auto" w:before="123"/>
      </w:pPr>
      <w:r>
        <w:rPr>
          <w:color w:val="6E6158"/>
        </w:rPr>
        <w:t>Presenter, “Will Artificial Intelligence Take Over Tax Practice?,” NYSSCPA, Taxation of Financial Instruments Conference, January 2024</w:t>
      </w:r>
    </w:p>
    <w:p>
      <w:pPr>
        <w:pStyle w:val="BodyText"/>
        <w:spacing w:line="292" w:lineRule="auto" w:before="113"/>
        <w:ind w:right="393"/>
      </w:pPr>
      <w:r>
        <w:rPr>
          <w:color w:val="6E6158"/>
        </w:rPr>
        <w:t>Presenter, “Ethical Issues in A.I. and Data Security,” ABA National Institute of Criminal Tax Fraud/Tax Controversy, December 2023</w:t>
      </w:r>
    </w:p>
    <w:p>
      <w:pPr>
        <w:pStyle w:val="BodyText"/>
        <w:spacing w:line="302" w:lineRule="auto" w:before="123"/>
      </w:pPr>
      <w:r>
        <w:rPr>
          <w:color w:val="6E6158"/>
        </w:rPr>
        <w:t>Presenter, “Tax, Tax, Revolution: Paradigm Shifts Caused by Generative A.I.,” ABA Tax Section, October 2023</w:t>
      </w:r>
    </w:p>
    <w:p>
      <w:pPr>
        <w:pStyle w:val="BodyText"/>
        <w:spacing w:before="113"/>
      </w:pPr>
      <w:r>
        <w:rPr>
          <w:color w:val="6E6158"/>
        </w:rPr>
        <w:t>Commentary,</w:t>
      </w:r>
      <w:r>
        <w:rPr>
          <w:color w:val="6E6158"/>
          <w:spacing w:val="12"/>
        </w:rPr>
        <w:t> </w:t>
      </w:r>
      <w:r>
        <w:rPr>
          <w:color w:val="6E6158"/>
        </w:rPr>
        <w:t>“IRS</w:t>
      </w:r>
      <w:r>
        <w:rPr>
          <w:color w:val="6E6158"/>
          <w:spacing w:val="13"/>
        </w:rPr>
        <w:t> </w:t>
      </w:r>
      <w:r>
        <w:rPr>
          <w:color w:val="6E6158"/>
        </w:rPr>
        <w:t>Floats</w:t>
      </w:r>
      <w:r>
        <w:rPr>
          <w:color w:val="6E6158"/>
          <w:spacing w:val="13"/>
        </w:rPr>
        <w:t> </w:t>
      </w:r>
      <w:r>
        <w:rPr>
          <w:color w:val="6E6158"/>
        </w:rPr>
        <w:t>First-Ever</w:t>
      </w:r>
      <w:r>
        <w:rPr>
          <w:color w:val="6E6158"/>
          <w:spacing w:val="13"/>
        </w:rPr>
        <w:t> </w:t>
      </w:r>
      <w:r>
        <w:rPr>
          <w:color w:val="6E6158"/>
        </w:rPr>
        <w:t>Broker</w:t>
      </w:r>
      <w:r>
        <w:rPr>
          <w:color w:val="6E6158"/>
          <w:spacing w:val="13"/>
        </w:rPr>
        <w:t> </w:t>
      </w:r>
      <w:r>
        <w:rPr>
          <w:color w:val="6E6158"/>
        </w:rPr>
        <w:t>Rules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Digital</w:t>
      </w:r>
      <w:r>
        <w:rPr>
          <w:color w:val="6E6158"/>
          <w:spacing w:val="13"/>
        </w:rPr>
        <w:t> </w:t>
      </w:r>
      <w:r>
        <w:rPr>
          <w:color w:val="6E6158"/>
        </w:rPr>
        <w:t>Asset</w:t>
      </w:r>
      <w:r>
        <w:rPr>
          <w:color w:val="6E6158"/>
          <w:spacing w:val="13"/>
        </w:rPr>
        <w:t> </w:t>
      </w:r>
      <w:r>
        <w:rPr>
          <w:color w:val="6E6158"/>
        </w:rPr>
        <w:t>Sales,”</w:t>
      </w:r>
      <w:r>
        <w:rPr>
          <w:color w:val="6E6158"/>
          <w:spacing w:val="13"/>
        </w:rPr>
        <w:t> </w:t>
      </w:r>
      <w:r>
        <w:rPr>
          <w:color w:val="6E6158"/>
        </w:rPr>
        <w:t>Law360,</w:t>
      </w:r>
      <w:r>
        <w:rPr>
          <w:color w:val="6E6158"/>
          <w:spacing w:val="13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298"/>
      </w:pPr>
      <w:r>
        <w:rPr>
          <w:color w:val="6E6158"/>
        </w:rPr>
        <w:t>Presenter, “Cryptocurrency: Recent Developments &amp; Civil/Criminal Enforcement </w:t>
      </w:r>
      <w:r>
        <w:rPr>
          <w:color w:val="6E6158"/>
        </w:rPr>
        <w:t>Update,” Summer Tax Summit, Federal Bar Association, August 2023</w:t>
      </w:r>
    </w:p>
    <w:p>
      <w:pPr>
        <w:pStyle w:val="BodyText"/>
        <w:spacing w:before="131"/>
      </w:pP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“The</w:t>
      </w:r>
      <w:r>
        <w:rPr>
          <w:color w:val="6E6158"/>
          <w:spacing w:val="12"/>
        </w:rPr>
        <w:t> </w:t>
      </w:r>
      <w:r>
        <w:rPr>
          <w:color w:val="6E6158"/>
        </w:rPr>
        <w:t>AIvolution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Litigation,”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298"/>
      </w:pPr>
      <w:r>
        <w:rPr>
          <w:color w:val="6E6158"/>
        </w:rPr>
        <w:t>Author, “Amusing Inventions Not to Be Thrown Away: ChatGPT and the Future of Tax,” Journal of Tax Practice and Procedure, Wolters Kluwer, Summer 2023</w:t>
      </w:r>
    </w:p>
    <w:p>
      <w:pPr>
        <w:pStyle w:val="BodyText"/>
        <w:spacing w:line="412" w:lineRule="auto" w:before="131"/>
        <w:ind w:right="115"/>
      </w:pPr>
      <w:r>
        <w:rPr>
          <w:color w:val="6E6158"/>
        </w:rPr>
        <w:t>Commentary, “IRS Seeks Outside Help in Applying Big Data,” Tax Notes, Tax Analysts, July 2023 Commentary, “Top Federal Taxes Cases in 1</w:t>
      </w:r>
      <w:r>
        <w:rPr>
          <w:color w:val="6E6158"/>
          <w:position w:val="7"/>
          <w:sz w:val="16"/>
        </w:rPr>
        <w:t>st</w:t>
      </w:r>
      <w:r>
        <w:rPr>
          <w:color w:val="6E6158"/>
          <w:spacing w:val="35"/>
          <w:position w:val="7"/>
          <w:sz w:val="16"/>
        </w:rPr>
        <w:t> </w:t>
      </w:r>
      <w:r>
        <w:rPr>
          <w:color w:val="6E6158"/>
        </w:rPr>
        <w:t>Half of 2023,” Law360, July 2023</w:t>
      </w:r>
    </w:p>
    <w:p>
      <w:pPr>
        <w:pStyle w:val="BodyText"/>
        <w:spacing w:line="292" w:lineRule="auto" w:before="6"/>
        <w:ind w:right="298"/>
      </w:pPr>
      <w:r>
        <w:rPr>
          <w:color w:val="6E6158"/>
        </w:rPr>
        <w:t>Commentary, “IRS Must Be Aware of Risks of A.I. Use, Tax Professionals Say,” Tax Notes, Tax Analysts, June 2023</w:t>
      </w:r>
    </w:p>
    <w:p>
      <w:pPr>
        <w:pStyle w:val="BodyText"/>
        <w:spacing w:line="292" w:lineRule="auto" w:before="131"/>
        <w:ind w:right="298"/>
      </w:pPr>
      <w:r>
        <w:rPr>
          <w:color w:val="6E6158"/>
        </w:rPr>
        <w:t>Commentary, “Werfel Punts on Racial Audit Report, Says IRS Is Still Digging,” Tax Notes, Tax Analysts, May 2023</w:t>
      </w:r>
    </w:p>
    <w:p>
      <w:pPr>
        <w:pStyle w:val="BodyText"/>
        <w:spacing w:line="292" w:lineRule="auto" w:before="123"/>
        <w:ind w:right="298"/>
      </w:pPr>
      <w:r>
        <w:rPr>
          <w:color w:val="6E6158"/>
        </w:rPr>
        <w:t>Presenter, “Evaluating the IRS’s A.I. and Data Analytics Program in Light of the Stanford Study,” ABA Tax Section, May 2023</w:t>
      </w:r>
    </w:p>
    <w:p>
      <w:pPr>
        <w:pStyle w:val="BodyText"/>
        <w:spacing w:line="292" w:lineRule="auto" w:before="132"/>
      </w:pPr>
      <w:r>
        <w:rPr>
          <w:color w:val="6E6158"/>
        </w:rPr>
        <w:t>Presenter, “IRS Voluntary Disclosure Program Update for Owners of Digital Assets,” CalCPA, International Tax Committee Meeting, February 2023</w:t>
      </w:r>
    </w:p>
    <w:p>
      <w:pPr>
        <w:pStyle w:val="BodyText"/>
        <w:spacing w:line="292" w:lineRule="auto" w:before="123"/>
      </w:pPr>
      <w:r>
        <w:rPr>
          <w:color w:val="6E6158"/>
        </w:rPr>
        <w:t>Presenter, “Taxpayer Data Privacy in the Age of Technological Advancement,” ABA Tax Section, February 2023</w:t>
      </w:r>
    </w:p>
    <w:p>
      <w:pPr>
        <w:pStyle w:val="BodyText"/>
        <w:spacing w:line="292" w:lineRule="auto" w:before="131"/>
        <w:ind w:right="298"/>
      </w:pPr>
      <w:r>
        <w:rPr>
          <w:color w:val="6E6158"/>
        </w:rPr>
        <w:t>Presenter, “Technological Advancements in Tax Practice and the Impact of The Inflation</w:t>
      </w:r>
      <w:r>
        <w:rPr>
          <w:color w:val="6E6158"/>
          <w:spacing w:val="40"/>
        </w:rPr>
        <w:t> </w:t>
      </w:r>
      <w:r>
        <w:rPr>
          <w:color w:val="6E6158"/>
        </w:rPr>
        <w:t>Reduction Act on the IRS’s Capabilities and Service,” ABA Tax Section, October 2022, December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32"/>
      </w:pPr>
      <w:r>
        <w:rPr>
          <w:color w:val="6E6158"/>
        </w:rPr>
        <w:t>Commentary, “Bankruptcy Plan Confirmation Won’t Life Tax Court Stay,” Tax Notes, Tax Analysts, October 2022</w:t>
      </w:r>
    </w:p>
    <w:p>
      <w:pPr>
        <w:pStyle w:val="BodyText"/>
        <w:spacing w:line="292" w:lineRule="auto" w:before="124"/>
      </w:pPr>
      <w:r>
        <w:rPr>
          <w:color w:val="6E6158"/>
        </w:rPr>
        <w:t>Commentary, “Info Reporting Regime Sets Up IRS Crypto Crackdown,” Tax Notes, Tax Analysts,</w:t>
      </w:r>
      <w:r>
        <w:rPr>
          <w:color w:val="6E6158"/>
          <w:spacing w:val="40"/>
        </w:rPr>
        <w:t> </w:t>
      </w:r>
      <w:r>
        <w:rPr>
          <w:color w:val="6E6158"/>
        </w:rPr>
        <w:t>September 2022</w:t>
      </w:r>
    </w:p>
    <w:p>
      <w:pPr>
        <w:pStyle w:val="BodyText"/>
        <w:spacing w:line="292" w:lineRule="auto" w:before="131"/>
        <w:ind w:right="298"/>
      </w:pPr>
      <w:r>
        <w:rPr>
          <w:color w:val="6E6158"/>
        </w:rPr>
        <w:t>Presenter, “Virtual Currencies – What Are They and How Are They Taxed?,” ABA Tax Section, May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23"/>
        <w:ind w:right="393"/>
      </w:pPr>
      <w:r>
        <w:rPr>
          <w:color w:val="6E6158"/>
        </w:rPr>
        <w:t>Presenter, “The Metaverse: Ethical Considerations for Tax Practitioners,” ABA Tax Section, May </w:t>
      </w:r>
      <w:r>
        <w:rPr>
          <w:color w:val="6E6158"/>
          <w:spacing w:val="-4"/>
        </w:rPr>
        <w:t>2022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Commentary, “IRS Crypto Enforcement Success Wave Keeps Breaking,” Tax Notes, Tax Analysts, March 2022</w:t>
      </w:r>
    </w:p>
    <w:p>
      <w:pPr>
        <w:pStyle w:val="BodyText"/>
        <w:spacing w:line="292" w:lineRule="auto" w:before="132"/>
        <w:ind w:right="115"/>
      </w:pPr>
      <w:r>
        <w:rPr>
          <w:color w:val="6E6158"/>
        </w:rPr>
        <w:t>Presenter, “A Fireside Chat with Tax Expert, Travis Thompson,” Blue J Legal Virtual Meeting, March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23"/>
      </w:pPr>
      <w:r>
        <w:rPr>
          <w:color w:val="6E6158"/>
        </w:rPr>
        <w:t>Commentary, “Tax Pros Burst Overeager Cryptocurrency Community Bubble,” Tax Notes, Tax Analysts, February 2022</w:t>
      </w:r>
    </w:p>
    <w:p>
      <w:pPr>
        <w:pStyle w:val="BodyText"/>
        <w:spacing w:line="420" w:lineRule="auto" w:before="131"/>
        <w:ind w:right="298"/>
      </w:pPr>
      <w:r>
        <w:rPr>
          <w:color w:val="6E6158"/>
        </w:rPr>
        <w:t>Presenter, “Artificial Intelligence in Tax,” California State Bar Tax Section, November 2021 Presenter, “IRS Fraud Enforcement and Cryptocurrency Update,” ABA Tax Section, May 2021</w:t>
      </w:r>
    </w:p>
    <w:p>
      <w:pPr>
        <w:pStyle w:val="BodyText"/>
        <w:spacing w:line="292" w:lineRule="auto"/>
        <w:ind w:right="298"/>
      </w:pPr>
      <w:r>
        <w:rPr>
          <w:color w:val="6E6158"/>
        </w:rPr>
        <w:t>Presenter, “Update on John Doe Summonses to Cryptocurrency Exchanges Kraken and </w:t>
      </w:r>
      <w:r>
        <w:rPr>
          <w:color w:val="6E6158"/>
        </w:rPr>
        <w:t>Circle,” ABA Tax Section, March 2021</w:t>
      </w:r>
    </w:p>
    <w:p>
      <w:pPr>
        <w:pStyle w:val="BodyText"/>
        <w:spacing w:line="292" w:lineRule="auto" w:before="130"/>
        <w:ind w:right="298"/>
      </w:pPr>
      <w:r>
        <w:rPr>
          <w:color w:val="6E6158"/>
        </w:rPr>
        <w:t>Presenter, “Updated Cryptocurrency FAQs. Is Trouble on the Horizon?,” ABA Tax Section, March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24"/>
      </w:pPr>
      <w:r>
        <w:rPr>
          <w:color w:val="6E6158"/>
        </w:rPr>
        <w:t>Presenter, “Big Data and Artificial Intelligence in Audit Selection and Litigation,” ABA Tax Section, October 2020</w:t>
      </w:r>
    </w:p>
    <w:p>
      <w:pPr>
        <w:pStyle w:val="BodyText"/>
        <w:spacing w:line="292" w:lineRule="auto" w:before="131"/>
        <w:ind w:right="298"/>
      </w:pPr>
      <w:r>
        <w:rPr>
          <w:color w:val="6E6158"/>
        </w:rPr>
        <w:t>Commentary, “Inquiry Into CI’s Database Use Raises New Data Questions,” Tax Notes, Tax Analysts, October 2020</w:t>
      </w:r>
    </w:p>
    <w:p>
      <w:pPr>
        <w:pStyle w:val="BodyText"/>
        <w:spacing w:line="302" w:lineRule="auto" w:before="123"/>
        <w:ind w:right="393"/>
      </w:pPr>
      <w:r>
        <w:rPr>
          <w:color w:val="6E6158"/>
        </w:rPr>
        <w:t>Commentary, “Business of Tax: A.I. Brings Uncertainty and Opportunity to Tax Practice,” Tax Notes, Tax Analysts, March 2020</w:t>
      </w:r>
    </w:p>
    <w:p>
      <w:pPr>
        <w:pStyle w:val="BodyText"/>
        <w:spacing w:line="292" w:lineRule="auto" w:before="113"/>
        <w:ind w:right="298"/>
      </w:pPr>
      <w:r>
        <w:rPr>
          <w:color w:val="6E6158"/>
        </w:rPr>
        <w:t>Presenter, “The Risks and Rewards of A.I. for Tax,” University of California, Irvine Law School, Graduate Tax Symposium, February 2020</w:t>
      </w:r>
    </w:p>
    <w:p>
      <w:pPr>
        <w:pStyle w:val="BodyText"/>
        <w:spacing w:line="302" w:lineRule="auto" w:before="123"/>
        <w:ind w:right="115"/>
      </w:pPr>
      <w:r>
        <w:rPr>
          <w:color w:val="6E6158"/>
        </w:rPr>
        <w:t>Presenter, “The Ethical Challenges Posed by the Use of Predictive Data Analytics in Tax,” ABA Tax Section, February 2020</w:t>
      </w:r>
    </w:p>
    <w:p>
      <w:pPr>
        <w:pStyle w:val="BodyText"/>
        <w:spacing w:line="292" w:lineRule="auto" w:before="113"/>
        <w:ind w:right="115"/>
      </w:pPr>
      <w:r>
        <w:rPr>
          <w:color w:val="6E6158"/>
        </w:rPr>
        <w:t>Commentary, “IRS in Early Stages of Appeals Video conference Rollout,” MLEX US Tax Watch, December 2019</w:t>
      </w:r>
    </w:p>
    <w:p>
      <w:pPr>
        <w:pStyle w:val="BodyText"/>
        <w:spacing w:before="123"/>
      </w:pP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“Robots,</w:t>
      </w:r>
      <w:r>
        <w:rPr>
          <w:color w:val="6E6158"/>
          <w:spacing w:val="10"/>
        </w:rPr>
        <w:t> </w:t>
      </w:r>
      <w:r>
        <w:rPr>
          <w:color w:val="6E6158"/>
        </w:rPr>
        <w:t>Drones,</w:t>
      </w:r>
      <w:r>
        <w:rPr>
          <w:color w:val="6E6158"/>
          <w:spacing w:val="10"/>
        </w:rPr>
        <w:t> </w:t>
      </w:r>
      <w:r>
        <w:rPr>
          <w:color w:val="6E6158"/>
        </w:rPr>
        <w:t>Self-Driving</w:t>
      </w:r>
      <w:r>
        <w:rPr>
          <w:color w:val="6E6158"/>
          <w:spacing w:val="11"/>
        </w:rPr>
        <w:t> </w:t>
      </w:r>
      <w:r>
        <w:rPr>
          <w:color w:val="6E6158"/>
        </w:rPr>
        <w:t>Cars,</w:t>
      </w:r>
      <w:r>
        <w:rPr>
          <w:color w:val="6E6158"/>
          <w:spacing w:val="10"/>
        </w:rPr>
        <w:t> </w:t>
      </w:r>
      <w:r>
        <w:rPr>
          <w:color w:val="6E6158"/>
        </w:rPr>
        <w:t>Oh</w:t>
      </w:r>
      <w:r>
        <w:rPr>
          <w:color w:val="6E6158"/>
          <w:spacing w:val="10"/>
        </w:rPr>
        <w:t> </w:t>
      </w:r>
      <w:r>
        <w:rPr>
          <w:color w:val="6E6158"/>
        </w:rPr>
        <w:t>My!,”</w:t>
      </w:r>
      <w:r>
        <w:rPr>
          <w:color w:val="6E6158"/>
          <w:spacing w:val="11"/>
        </w:rPr>
        <w:t> </w:t>
      </w:r>
      <w:r>
        <w:rPr>
          <w:color w:val="6E6158"/>
        </w:rPr>
        <w:t>ABA</w:t>
      </w:r>
      <w:r>
        <w:rPr>
          <w:color w:val="6E6158"/>
          <w:spacing w:val="10"/>
        </w:rPr>
        <w:t> </w:t>
      </w:r>
      <w:r>
        <w:rPr>
          <w:color w:val="6E6158"/>
        </w:rPr>
        <w:t>Tax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1"/>
        </w:rPr>
        <w:t> </w:t>
      </w:r>
      <w:r>
        <w:rPr>
          <w:color w:val="6E6158"/>
        </w:rPr>
        <w:t>October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82"/>
        <w:ind w:right="298"/>
      </w:pPr>
      <w:r>
        <w:rPr>
          <w:color w:val="6E6158"/>
        </w:rPr>
        <w:t>Presenter, “New Technologies to Communicate with IRS Examination and Appeals,” ABA Tax Section, May 2019</w:t>
      </w:r>
    </w:p>
    <w:p>
      <w:pPr>
        <w:pStyle w:val="BodyText"/>
        <w:spacing w:before="124"/>
      </w:pP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“The</w:t>
      </w:r>
      <w:r>
        <w:rPr>
          <w:color w:val="6E6158"/>
          <w:spacing w:val="9"/>
        </w:rPr>
        <w:t> </w:t>
      </w:r>
      <w:r>
        <w:rPr>
          <w:color w:val="6E6158"/>
        </w:rPr>
        <w:t>Challenges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Social</w:t>
      </w:r>
      <w:r>
        <w:rPr>
          <w:color w:val="6E6158"/>
          <w:spacing w:val="9"/>
        </w:rPr>
        <w:t> </w:t>
      </w:r>
      <w:r>
        <w:rPr>
          <w:color w:val="6E6158"/>
        </w:rPr>
        <w:t>Media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Practitioners,”</w:t>
      </w:r>
      <w:r>
        <w:rPr>
          <w:color w:val="6E6158"/>
          <w:spacing w:val="9"/>
        </w:rPr>
        <w:t> </w:t>
      </w:r>
      <w:r>
        <w:rPr>
          <w:color w:val="6E6158"/>
        </w:rPr>
        <w:t>ABA</w:t>
      </w:r>
      <w:r>
        <w:rPr>
          <w:color w:val="6E6158"/>
          <w:spacing w:val="8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74"/>
        <w:ind w:right="298"/>
      </w:pPr>
      <w:r>
        <w:rPr>
          <w:color w:val="6E6158"/>
        </w:rPr>
        <w:t>Commentary, “Tax Court Considering Allowing Limited Appearances,” Tax Notes, Tax Analysts, April 2019</w:t>
      </w:r>
    </w:p>
    <w:p>
      <w:pPr>
        <w:pStyle w:val="BodyText"/>
        <w:spacing w:line="292" w:lineRule="auto" w:before="112"/>
      </w:pPr>
      <w:r>
        <w:rPr>
          <w:color w:val="6E6158"/>
        </w:rPr>
        <w:t>Commentary, “The Business of Tax: The Almighty Billable Hour Versus Branding,” Tax Notes, Tax Analysts, April 2019</w:t>
      </w:r>
    </w:p>
    <w:p>
      <w:pPr>
        <w:pStyle w:val="BodyText"/>
        <w:spacing w:line="292" w:lineRule="auto" w:before="132"/>
        <w:ind w:right="393"/>
      </w:pPr>
      <w:r>
        <w:rPr>
          <w:color w:val="6E6158"/>
        </w:rPr>
        <w:t>Presenter, “How Artificial Intelligence and Other Technology Will Shape the Future of Tax Law,” DC Bar Association, April 2019</w:t>
      </w:r>
    </w:p>
    <w:p>
      <w:pPr>
        <w:pStyle w:val="BodyText"/>
        <w:spacing w:line="297" w:lineRule="auto" w:before="123"/>
        <w:ind w:right="362"/>
      </w:pPr>
      <w:r>
        <w:rPr>
          <w:color w:val="6E6158"/>
        </w:rPr>
        <w:t>Author, “Do IRS Computers Dream About Tax Cheats? Artificial Intelligence and Big Data in Tax Enforcement and Compliance,” Journal of Tax Practice and Procedure, Wolters Kluwer, February-March 2019</w:t>
      </w:r>
    </w:p>
    <w:p>
      <w:pPr>
        <w:pStyle w:val="BodyText"/>
        <w:spacing w:line="292" w:lineRule="auto" w:before="118"/>
        <w:ind w:right="298"/>
      </w:pPr>
      <w:r>
        <w:rPr>
          <w:color w:val="6E6158"/>
        </w:rPr>
        <w:t>Presenter, “What Everyone Needs to Know About Cryptocurrency,” ABA National Institute </w:t>
      </w:r>
      <w:r>
        <w:rPr>
          <w:color w:val="6E6158"/>
        </w:rPr>
        <w:t>of Criminal Tax Fraud/Tax Controversy, December 2018</w:t>
      </w:r>
    </w:p>
    <w:p>
      <w:pPr>
        <w:pStyle w:val="BodyText"/>
        <w:spacing w:line="302" w:lineRule="auto" w:before="123"/>
        <w:ind w:right="298"/>
      </w:pPr>
      <w:r>
        <w:rPr>
          <w:color w:val="6E6158"/>
        </w:rPr>
        <w:t>Presenter, “The IRS’s Modern Use of Artificial Intelligence and Big Data in Tax Enforcement,” ABA Tax Section, December 2018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Commentary, “The Business of Tax: Big Data is for Practitioners, Too,” Tax Notes, Tax Analysts, December 2018</w:t>
      </w:r>
    </w:p>
    <w:p>
      <w:pPr>
        <w:pStyle w:val="BodyText"/>
        <w:spacing w:line="292" w:lineRule="auto" w:before="132"/>
      </w:pPr>
      <w:r>
        <w:rPr>
          <w:color w:val="6E6158"/>
        </w:rPr>
        <w:t>Commentary, “The IRS’s Use of Big Data and Artificial Intelligence,” Tax Notes, Tax Analysts, December 2018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393"/>
      </w:pPr>
      <w:r>
        <w:rPr>
          <w:color w:val="6E6158"/>
        </w:rPr>
        <w:t>Founder and Chair, American Bar Association Tax Section’s Tax Practice &amp; Technology </w:t>
      </w:r>
      <w:r>
        <w:rPr>
          <w:color w:val="6E6158"/>
          <w:spacing w:val="-2"/>
        </w:rPr>
        <w:t>Committee</w:t>
      </w:r>
    </w:p>
    <w:p>
      <w:pPr>
        <w:pStyle w:val="BodyText"/>
        <w:spacing w:line="292" w:lineRule="auto" w:before="131"/>
        <w:ind w:right="298"/>
      </w:pPr>
      <w:r>
        <w:rPr>
          <w:color w:val="6E6158"/>
        </w:rPr>
        <w:t>Current Vice Chair, American Bar Association Tax Section’s Tax Collection, Bankruptcy, and Workouts Committee</w:t>
      </w:r>
    </w:p>
    <w:p>
      <w:pPr>
        <w:pStyle w:val="BodyText"/>
        <w:spacing w:before="123"/>
      </w:pPr>
      <w:r>
        <w:rPr>
          <w:color w:val="6E6158"/>
        </w:rPr>
        <w:t>Current</w:t>
      </w:r>
      <w:r>
        <w:rPr>
          <w:color w:val="6E6158"/>
          <w:spacing w:val="9"/>
        </w:rPr>
        <w:t> </w:t>
      </w:r>
      <w:r>
        <w:rPr>
          <w:color w:val="6E6158"/>
        </w:rPr>
        <w:t>Vice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Section’s</w:t>
      </w:r>
      <w:r>
        <w:rPr>
          <w:color w:val="6E6158"/>
          <w:spacing w:val="10"/>
        </w:rPr>
        <w:t> </w:t>
      </w:r>
      <w:r>
        <w:rPr>
          <w:color w:val="6E6158"/>
        </w:rPr>
        <w:t>CLE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United</w:t>
      </w:r>
      <w:r>
        <w:rPr>
          <w:color w:val="6E6158"/>
          <w:spacing w:val="7"/>
        </w:rPr>
        <w:t> </w:t>
      </w:r>
      <w:r>
        <w:rPr>
          <w:color w:val="6E6158"/>
        </w:rPr>
        <w:t>States</w:t>
      </w:r>
      <w:r>
        <w:rPr>
          <w:color w:val="6E6158"/>
          <w:spacing w:val="6"/>
        </w:rPr>
        <w:t> </w:t>
      </w:r>
      <w:r>
        <w:rPr>
          <w:color w:val="6E6158"/>
        </w:rPr>
        <w:t>Tax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420" w:lineRule="auto" w:before="174"/>
        <w:ind w:right="3585"/>
      </w:pPr>
      <w:r>
        <w:rPr>
          <w:color w:val="6E6158"/>
        </w:rPr>
        <w:t>United States District Court Northern District of </w:t>
      </w:r>
      <w:r>
        <w:rPr>
          <w:color w:val="6E6158"/>
        </w:rPr>
        <w:t>California United States District Court Eastern District of 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ax/" TargetMode="External"/><Relationship Id="rId9" Type="http://schemas.openxmlformats.org/officeDocument/2006/relationships/hyperlink" Target="https://www.fennemorelaw.com/contact-us/walnut-creek/" TargetMode="External"/><Relationship Id="rId10" Type="http://schemas.openxmlformats.org/officeDocument/2006/relationships/hyperlink" Target="https://www.fennemorelaw.com/contact-us/sacramento/" TargetMode="External"/><Relationship Id="rId11" Type="http://schemas.openxmlformats.org/officeDocument/2006/relationships/hyperlink" Target="mailto:tthompson@fennemorelaw.com" TargetMode="External"/><Relationship Id="rId12" Type="http://schemas.openxmlformats.org/officeDocument/2006/relationships/hyperlink" Target="https://www.fennemorelaw.com/services/business-and-finance/" TargetMode="External"/><Relationship Id="rId13" Type="http://schemas.openxmlformats.org/officeDocument/2006/relationships/hyperlink" Target="https://www.fennemorelaw.com/could-you-be-owed-a-covid-era-tax-refund-what-businesses-should-know-now/" TargetMode="External"/><Relationship Id="rId14" Type="http://schemas.openxmlformats.org/officeDocument/2006/relationships/hyperlink" Target="https://calawyers.org/2025-annual-meeting-of-the-tax-bar-and-tax-policy-conference/schedul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Thompson - Fennemore</dc:title>
  <dcterms:created xsi:type="dcterms:W3CDTF">2026-06-30T15:25:08Z</dcterms:created>
  <dcterms:modified xsi:type="dcterms:W3CDTF">2026-06-30T15:25:08Z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