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0122" y="1585517"/>
                            <a:ext cx="50444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Thoughtful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careful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preparation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documents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key to wealth preservation and transition. Proper implementation and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0" w:right="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diligent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equally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critical.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87352" y="880542"/>
                            <a:ext cx="19100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Trusts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Estates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19;top:2496;width:7944;height:825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Thoughtful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careful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preparation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documents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key to wealth preservation and transition. Proper implementation and</w:t>
                        </w:r>
                      </w:p>
                      <w:p>
                        <w:pPr>
                          <w:spacing w:line="259" w:lineRule="exact" w:before="0"/>
                          <w:ind w:left="0" w:right="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diligent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equally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critical.</w:t>
                        </w:r>
                      </w:p>
                    </w:txbxContent>
                  </v:textbox>
                  <w10:wrap type="none"/>
                </v:shape>
                <v:shape style="position:absolute;left:3287;top:1386;width:300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Trusts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Estates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-21755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786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527" w:right="786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6"/>
        <w:ind w:left="3527" w:right="78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231210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86"/>
        <w:ind w:left="0"/>
        <w:rPr>
          <w:sz w:val="20"/>
        </w:rPr>
      </w:pPr>
    </w:p>
    <w:p>
      <w:pPr>
        <w:spacing w:line="240" w:lineRule="auto"/>
        <w:ind w:left="10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53"/>
        <w:ind w:left="0"/>
        <w:rPr>
          <w:sz w:val="16"/>
        </w:rPr>
      </w:pPr>
    </w:p>
    <w:p>
      <w:pPr>
        <w:spacing w:line="518" w:lineRule="auto" w:before="1"/>
        <w:ind w:left="216" w:right="645" w:firstLine="0"/>
        <w:jc w:val="left"/>
        <w:rPr>
          <w:sz w:val="16"/>
        </w:rPr>
      </w:pPr>
      <w:hyperlink r:id="rId9">
        <w:r>
          <w:rPr>
            <w:sz w:val="16"/>
          </w:rPr>
          <w:t>TRUSTS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  <w:r>
          <w:rPr>
            <w:spacing w:val="-11"/>
            <w:sz w:val="16"/>
          </w:rPr>
          <w:t> </w:t>
        </w:r>
        <w:r>
          <w:rPr>
            <w:sz w:val="16"/>
          </w:rPr>
          <w:t>ESTATES</w:t>
        </w:r>
      </w:hyperlink>
      <w:r>
        <w:rPr>
          <w:sz w:val="16"/>
        </w:rPr>
        <w:t> </w:t>
      </w:r>
      <w:hyperlink r:id="rId16">
        <w:r>
          <w:rPr>
            <w:sz w:val="16"/>
          </w:rPr>
          <w:t>TAX LAW</w:t>
        </w:r>
      </w:hyperlink>
    </w:p>
    <w:p>
      <w:pPr>
        <w:spacing w:line="199" w:lineRule="auto" w:before="18"/>
        <w:ind w:left="216" w:right="645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Francesca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K.</w:t>
        </w:r>
      </w:hyperlink>
      <w:r>
        <w:rPr>
          <w:b/>
          <w:sz w:val="16"/>
        </w:rPr>
        <w:t> </w:t>
      </w:r>
      <w:hyperlink r:id="rId17">
        <w:r>
          <w:rPr>
            <w:b/>
            <w:spacing w:val="-4"/>
            <w:sz w:val="16"/>
          </w:rPr>
          <w:t>Boyd</w:t>
        </w:r>
      </w:hyperlink>
    </w:p>
    <w:p>
      <w:pPr>
        <w:spacing w:line="144" w:lineRule="exact" w:before="0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16" w:right="0" w:firstLine="0"/>
        <w:jc w:val="left"/>
        <w:rPr>
          <w:b/>
          <w:sz w:val="12"/>
        </w:rPr>
      </w:pPr>
      <w:hyperlink r:id="rId18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5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216" w:right="645" w:firstLine="0"/>
        <w:jc w:val="left"/>
        <w:rPr>
          <w:sz w:val="12"/>
        </w:rPr>
      </w:pPr>
      <w:hyperlink r:id="rId19">
        <w:r>
          <w:rPr>
            <w:color w:val="002E6B"/>
            <w:spacing w:val="-2"/>
            <w:sz w:val="12"/>
            <w:u w:val="single" w:color="002E6B"/>
          </w:rPr>
          <w:t>fboyd@fennemorela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9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0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297" w:right="618" w:firstLine="0"/>
        <w:jc w:val="left"/>
        <w:rPr>
          <w:sz w:val="16"/>
        </w:rPr>
      </w:pPr>
      <w:hyperlink r:id="rId20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20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297" w:right="0" w:firstLine="0"/>
        <w:jc w:val="left"/>
        <w:rPr>
          <w:b/>
          <w:sz w:val="16"/>
        </w:rPr>
      </w:pPr>
      <w:hyperlink r:id="rId21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8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297" w:right="406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601" w:space="40"/>
            <w:col w:w="2209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65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planning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35"/>
      </w:pPr>
      <w:r>
        <w:rPr>
          <w:color w:val="6E6158"/>
        </w:rPr>
        <w:t>include, presently and historically, Fellows of the </w:t>
      </w:r>
      <w:hyperlink r:id="rId23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in estate and trust law and in tax law; adjunct professors; members of</w:t>
      </w:r>
      <w:r>
        <w:rPr>
          <w:color w:val="6E6158"/>
          <w:spacing w:val="40"/>
        </w:rPr>
        <w:t> </w:t>
      </w:r>
      <w:r>
        <w:rPr>
          <w:color w:val="6E6158"/>
        </w:rPr>
        <w:t>for-profit boards of directors, and of professional, community, and charitable councils and</w:t>
      </w:r>
      <w:r>
        <w:rPr>
          <w:color w:val="6E6158"/>
          <w:spacing w:val="40"/>
        </w:rPr>
        <w:t> </w:t>
      </w:r>
      <w:r>
        <w:rPr>
          <w:color w:val="6E6158"/>
        </w:rPr>
        <w:t>boards.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attorneys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lectured</w:t>
      </w:r>
      <w:r>
        <w:rPr>
          <w:color w:val="6E6158"/>
          <w:spacing w:val="34"/>
        </w:rPr>
        <w:t> </w:t>
      </w:r>
      <w:r>
        <w:rPr>
          <w:color w:val="6E6158"/>
        </w:rPr>
        <w:t>extensively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planning,</w:t>
      </w:r>
      <w:r>
        <w:rPr>
          <w:color w:val="6E6158"/>
          <w:spacing w:val="34"/>
        </w:rPr>
        <w:t> </w:t>
      </w:r>
      <w:r>
        <w:rPr>
          <w:color w:val="6E6158"/>
        </w:rPr>
        <w:t>taxation,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related</w:t>
      </w:r>
    </w:p>
    <w:p>
      <w:pPr>
        <w:pStyle w:val="BodyText"/>
        <w:spacing w:line="292" w:lineRule="auto" w:before="8"/>
        <w:ind w:right="665"/>
      </w:pPr>
      <w:r>
        <w:rPr>
          <w:color w:val="6E6158"/>
        </w:rPr>
        <w:t>topics, educating other lawyers, accountants, and professionals locally and throughout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</w:t>
      </w:r>
    </w:p>
    <w:p>
      <w:pPr>
        <w:pStyle w:val="BodyText"/>
        <w:spacing w:before="196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5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7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65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 w:before="146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65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jc w:val="right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trusts-estates/" TargetMode="External"/><Relationship Id="rId10" Type="http://schemas.openxmlformats.org/officeDocument/2006/relationships/hyperlink" Target="https://www.fennemorelaw.com/services/estate-litigation/" TargetMode="External"/><Relationship Id="rId11" Type="http://schemas.openxmlformats.org/officeDocument/2006/relationships/hyperlink" Target="https://www.fennemorelaw.com/people/attorneys/kathleen-e-callaway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kcallaway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services/tax/" TargetMode="External"/><Relationship Id="rId17" Type="http://schemas.openxmlformats.org/officeDocument/2006/relationships/hyperlink" Target="https://www.fennemorelaw.com/people/attorneys/francesca-k-boyd/" TargetMode="External"/><Relationship Id="rId18" Type="http://schemas.openxmlformats.org/officeDocument/2006/relationships/hyperlink" Target="https://www.fennemorelaw.com/contact-us/#oakland" TargetMode="External"/><Relationship Id="rId19" Type="http://schemas.openxmlformats.org/officeDocument/2006/relationships/hyperlink" Target="mailto:fboyd@fennemorelaw.com" TargetMode="External"/><Relationship Id="rId20" Type="http://schemas.openxmlformats.org/officeDocument/2006/relationships/hyperlink" Target="https://www.fennemorelaw.com/services/estate-planning/" TargetMode="External"/><Relationship Id="rId21" Type="http://schemas.openxmlformats.org/officeDocument/2006/relationships/hyperlink" Target="https://www.fennemorelaw.com/people/attorneys/judith-y-tang/" TargetMode="External"/><Relationship Id="rId22" Type="http://schemas.openxmlformats.org/officeDocument/2006/relationships/hyperlink" Target="mailto:jtang@fennemorelaw.com" TargetMode="External"/><Relationship Id="rId23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Trusts &amp; Estates - Fennemore</dc:title>
  <dcterms:created xsi:type="dcterms:W3CDTF">2026-06-12T09:22:08Z</dcterms:created>
  <dcterms:modified xsi:type="dcterms:W3CDTF">2026-06-12T09:22:08Z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