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162935"/>
                <wp:effectExtent l="0" t="0" r="0" b="8889"/>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Li Paul bio"/>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893695"/>
                          </a:xfrm>
                          <a:prstGeom prst="rect">
                            <a:avLst/>
                          </a:prstGeom>
                        </wps:spPr>
                        <wps:txbx>
                          <w:txbxContent>
                            <w:p>
                              <w:pPr>
                                <w:spacing w:line="240" w:lineRule="auto" w:before="370"/>
                                <w:rPr>
                                  <w:rFonts w:ascii="Times New Roman"/>
                                  <w:sz w:val="39"/>
                                </w:rPr>
                              </w:pPr>
                            </w:p>
                            <w:p>
                              <w:pPr>
                                <w:spacing w:line="216" w:lineRule="auto" w:before="0"/>
                                <w:ind w:left="654" w:right="657" w:firstLine="0"/>
                                <w:jc w:val="center"/>
                                <w:rPr>
                                  <w:sz w:val="39"/>
                                </w:rPr>
                              </w:pPr>
                              <w:r>
                                <w:rPr>
                                  <w:color w:val="FFFFFF"/>
                                  <w:spacing w:val="-8"/>
                                  <w:sz w:val="39"/>
                                </w:rPr>
                                <w:t>ZHAOYANG </w:t>
                              </w:r>
                              <w:r>
                                <w:rPr>
                                  <w:color w:val="FFFFFF"/>
                                  <w:sz w:val="39"/>
                                </w:rPr>
                                <w:t>“PAUL” LI</w:t>
                              </w:r>
                            </w:p>
                            <w:p>
                              <w:pPr>
                                <w:spacing w:before="48"/>
                                <w:ind w:left="655" w:right="657" w:firstLine="0"/>
                                <w:jc w:val="center"/>
                                <w:rPr>
                                  <w:sz w:val="24"/>
                                </w:rPr>
                              </w:pPr>
                              <w:r>
                                <w:rPr>
                                  <w:color w:val="FFFFFF"/>
                                  <w:spacing w:val="-2"/>
                                  <w:sz w:val="24"/>
                                </w:rPr>
                                <w:t>Director</w:t>
                              </w:r>
                            </w:p>
                            <w:p>
                              <w:pPr>
                                <w:spacing w:before="291"/>
                                <w:ind w:left="655" w:right="657"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655" w:right="65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655" w:right="657" w:firstLine="0"/>
                                <w:jc w:val="center"/>
                                <w:rPr>
                                  <w:sz w:val="17"/>
                                </w:rPr>
                              </w:pPr>
                              <w:r>
                                <w:rPr>
                                  <w:color w:val="FFFFFF"/>
                                  <w:sz w:val="17"/>
                                </w:rPr>
                                <w:t>P: </w:t>
                              </w:r>
                              <w:r>
                                <w:rPr>
                                  <w:color w:val="FFFFFF"/>
                                  <w:spacing w:val="-2"/>
                                  <w:sz w:val="17"/>
                                </w:rPr>
                                <w:t>415.636.6031</w:t>
                              </w:r>
                            </w:p>
                            <w:p>
                              <w:pPr>
                                <w:spacing w:before="119"/>
                                <w:ind w:left="655" w:right="657" w:firstLine="0"/>
                                <w:jc w:val="center"/>
                                <w:rPr>
                                  <w:sz w:val="16"/>
                                </w:rPr>
                              </w:pPr>
                              <w:hyperlink r:id="rId10">
                                <w:r>
                                  <w:rPr>
                                    <w:color w:val="FFFFFF"/>
                                    <w:spacing w:val="-2"/>
                                    <w:sz w:val="16"/>
                                  </w:rPr>
                                  <w:t>zli@fennemorelaw.com</w:t>
                                </w:r>
                              </w:hyperlink>
                            </w:p>
                          </w:txbxContent>
                        </wps:txbx>
                        <wps:bodyPr wrap="square" lIns="0" tIns="0" rIns="0" bIns="0" rtlCol="0">
                          <a:noAutofit/>
                        </wps:bodyPr>
                      </wps:wsp>
                    </wpg:wgp>
                  </a:graphicData>
                </a:graphic>
              </wp:inline>
            </w:drawing>
          </mc:Choice>
          <mc:Fallback>
            <w:pict>
              <v:group style="width:478.1pt;height:249.05pt;mso-position-horizontal-relative:char;mso-position-vertical-relative:line" id="docshapegroup1" coordorigin="0,0" coordsize="9562,4981">
                <v:shape style="position:absolute;left:0;top:0;width:2165;height:424" type="#_x0000_t75" id="docshape2" alt="Fennemore" href="https://www.fennemorelaw.com/" stroked="false">
                  <v:imagedata r:id="rId5" o:title=""/>
                </v:shape>
                <v:shape style="position:absolute;left:0;top:423;width:4785;height:4557" type="#_x0000_t75" id="docshape3" alt="Li Paul bio" stroked="false">
                  <v:imagedata r:id="rId7" o:title=""/>
                </v:shape>
                <v:rect style="position:absolute;left:4784;top:423;width:4777;height:4557" id="docshape4" filled="true" fillcolor="#262424" stroked="false">
                  <v:fill type="solid"/>
                </v:rect>
                <v:shape style="position:absolute;left:5500;top:2587;width:3337;height:505" id="docshape5" coordorigin="5501,2588" coordsize="3337,505" path="m8837,3084l5501,3084,5501,3092,8837,3092,8837,3084xm8837,2588l5501,2588,5501,2596,8837,2596,8837,2588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557" type="#_x0000_t202" id="docshape6" filled="false" stroked="false">
                  <v:textbox inset="0,0,0,0">
                    <w:txbxContent>
                      <w:p>
                        <w:pPr>
                          <w:spacing w:line="240" w:lineRule="auto" w:before="370"/>
                          <w:rPr>
                            <w:rFonts w:ascii="Times New Roman"/>
                            <w:sz w:val="39"/>
                          </w:rPr>
                        </w:pPr>
                      </w:p>
                      <w:p>
                        <w:pPr>
                          <w:spacing w:line="216" w:lineRule="auto" w:before="0"/>
                          <w:ind w:left="654" w:right="657" w:firstLine="0"/>
                          <w:jc w:val="center"/>
                          <w:rPr>
                            <w:sz w:val="39"/>
                          </w:rPr>
                        </w:pPr>
                        <w:r>
                          <w:rPr>
                            <w:color w:val="FFFFFF"/>
                            <w:spacing w:val="-8"/>
                            <w:sz w:val="39"/>
                          </w:rPr>
                          <w:t>ZHAOYANG </w:t>
                        </w:r>
                        <w:r>
                          <w:rPr>
                            <w:color w:val="FFFFFF"/>
                            <w:sz w:val="39"/>
                          </w:rPr>
                          <w:t>“PAUL” LI</w:t>
                        </w:r>
                      </w:p>
                      <w:p>
                        <w:pPr>
                          <w:spacing w:before="48"/>
                          <w:ind w:left="655" w:right="657" w:firstLine="0"/>
                          <w:jc w:val="center"/>
                          <w:rPr>
                            <w:sz w:val="24"/>
                          </w:rPr>
                        </w:pPr>
                        <w:r>
                          <w:rPr>
                            <w:color w:val="FFFFFF"/>
                            <w:spacing w:val="-2"/>
                            <w:sz w:val="24"/>
                          </w:rPr>
                          <w:t>Director</w:t>
                        </w:r>
                      </w:p>
                      <w:p>
                        <w:pPr>
                          <w:spacing w:before="291"/>
                          <w:ind w:left="655" w:right="657"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655" w:right="65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655" w:right="657" w:firstLine="0"/>
                          <w:jc w:val="center"/>
                          <w:rPr>
                            <w:sz w:val="17"/>
                          </w:rPr>
                        </w:pPr>
                        <w:r>
                          <w:rPr>
                            <w:color w:val="FFFFFF"/>
                            <w:sz w:val="17"/>
                          </w:rPr>
                          <w:t>P: </w:t>
                        </w:r>
                        <w:r>
                          <w:rPr>
                            <w:color w:val="FFFFFF"/>
                            <w:spacing w:val="-2"/>
                            <w:sz w:val="17"/>
                          </w:rPr>
                          <w:t>415.636.6031</w:t>
                        </w:r>
                      </w:p>
                      <w:p>
                        <w:pPr>
                          <w:spacing w:before="119"/>
                          <w:ind w:left="655" w:right="657" w:firstLine="0"/>
                          <w:jc w:val="center"/>
                          <w:rPr>
                            <w:sz w:val="16"/>
                          </w:rPr>
                        </w:pPr>
                        <w:hyperlink r:id="rId10">
                          <w:r>
                            <w:rPr>
                              <w:color w:val="FFFFFF"/>
                              <w:spacing w:val="-2"/>
                              <w:sz w:val="16"/>
                            </w:rPr>
                            <w:t>zli@fennemorelaw.com</w:t>
                          </w:r>
                        </w:hyperlink>
                      </w:p>
                    </w:txbxContent>
                  </v:textbox>
                  <w10:wrap type="none"/>
                </v:shape>
              </v:group>
            </w:pict>
          </mc:Fallback>
        </mc:AlternateContent>
      </w:r>
      <w:r>
        <w:rPr>
          <w:rFonts w:ascii="Times New Roman"/>
          <w:sz w:val="20"/>
        </w:rPr>
      </w:r>
    </w:p>
    <w:p>
      <w:pPr>
        <w:pStyle w:val="Heading2"/>
        <w:spacing w:before="63"/>
      </w:pPr>
      <w:r>
        <w:rPr>
          <w:color w:val="FF8100"/>
        </w:rPr>
        <w:t>ZHAOYANG</w:t>
      </w:r>
      <w:r>
        <w:rPr>
          <w:color w:val="FF8100"/>
          <w:spacing w:val="11"/>
        </w:rPr>
        <w:t> </w:t>
      </w:r>
      <w:r>
        <w:rPr>
          <w:color w:val="FF8100"/>
        </w:rPr>
        <w:t>"PAUL"</w:t>
      </w:r>
      <w:r>
        <w:rPr>
          <w:color w:val="FF8100"/>
          <w:spacing w:val="12"/>
        </w:rPr>
        <w:t> </w:t>
      </w:r>
      <w:r>
        <w:rPr>
          <w:color w:val="FF8100"/>
          <w:spacing w:val="-5"/>
        </w:rPr>
        <w:t>LI</w:t>
      </w:r>
    </w:p>
    <w:p>
      <w:pPr>
        <w:pStyle w:val="BodyText"/>
        <w:spacing w:line="297" w:lineRule="auto" w:before="147"/>
        <w:ind w:right="369"/>
      </w:pPr>
      <w:r>
        <w:rPr>
          <w:color w:val="6E6158"/>
        </w:rPr>
        <w:t>A Director in Fennemore’s Intellectual Property practice group, Dr. Paul Li counsels companies on</w:t>
      </w:r>
      <w:r>
        <w:rPr>
          <w:color w:val="6E6158"/>
          <w:spacing w:val="40"/>
        </w:rPr>
        <w:t> </w:t>
      </w:r>
      <w:r>
        <w:rPr>
          <w:color w:val="6E6158"/>
        </w:rPr>
        <w:t>how to protect and defend their intellectual property rights in U.S. and foreign institutions. In his</w:t>
      </w:r>
      <w:r>
        <w:rPr>
          <w:color w:val="6E6158"/>
          <w:spacing w:val="40"/>
        </w:rPr>
        <w:t> </w:t>
      </w:r>
      <w:r>
        <w:rPr>
          <w:color w:val="6E6158"/>
        </w:rPr>
        <w:t>comprehensive</w:t>
      </w:r>
      <w:r>
        <w:rPr>
          <w:color w:val="6E6158"/>
          <w:spacing w:val="40"/>
        </w:rPr>
        <w:t> </w:t>
      </w:r>
      <w:r>
        <w:rPr>
          <w:color w:val="6E6158"/>
        </w:rPr>
        <w:t>practice,</w:t>
      </w:r>
      <w:r>
        <w:rPr>
          <w:color w:val="6E6158"/>
          <w:spacing w:val="40"/>
        </w:rPr>
        <w:t> </w:t>
      </w:r>
      <w:r>
        <w:rPr>
          <w:color w:val="6E6158"/>
        </w:rPr>
        <w:t>he</w:t>
      </w:r>
      <w:r>
        <w:rPr>
          <w:color w:val="6E6158"/>
          <w:spacing w:val="40"/>
        </w:rPr>
        <w:t> </w:t>
      </w:r>
      <w:r>
        <w:rPr>
          <w:color w:val="6E6158"/>
        </w:rPr>
        <w:t>advises</w:t>
      </w:r>
      <w:r>
        <w:rPr>
          <w:color w:val="6E6158"/>
          <w:spacing w:val="40"/>
        </w:rPr>
        <w:t> </w:t>
      </w:r>
      <w:r>
        <w:rPr>
          <w:color w:val="6E6158"/>
        </w:rPr>
        <w:t>on</w:t>
      </w:r>
      <w:r>
        <w:rPr>
          <w:color w:val="6E6158"/>
          <w:spacing w:val="40"/>
        </w:rPr>
        <w:t> </w:t>
      </w:r>
      <w:r>
        <w:rPr>
          <w:color w:val="6E6158"/>
        </w:rPr>
        <w:t>patent</w:t>
      </w:r>
      <w:r>
        <w:rPr>
          <w:color w:val="6E6158"/>
          <w:spacing w:val="40"/>
        </w:rPr>
        <w:t> </w:t>
      </w:r>
      <w:r>
        <w:rPr>
          <w:color w:val="6E6158"/>
        </w:rPr>
        <w:t>prosecution,</w:t>
      </w:r>
      <w:r>
        <w:rPr>
          <w:color w:val="6E6158"/>
          <w:spacing w:val="40"/>
        </w:rPr>
        <w:t> </w:t>
      </w:r>
      <w:r>
        <w:rPr>
          <w:color w:val="6E6158"/>
        </w:rPr>
        <w:t>patent</w:t>
      </w:r>
      <w:r>
        <w:rPr>
          <w:color w:val="6E6158"/>
          <w:spacing w:val="40"/>
        </w:rPr>
        <w:t> </w:t>
      </w:r>
      <w:r>
        <w:rPr>
          <w:color w:val="6E6158"/>
        </w:rPr>
        <w:t>infringement</w:t>
      </w:r>
      <w:r>
        <w:rPr>
          <w:color w:val="6E6158"/>
          <w:spacing w:val="40"/>
        </w:rPr>
        <w:t> </w:t>
      </w:r>
      <w:r>
        <w:rPr>
          <w:color w:val="6E6158"/>
        </w:rPr>
        <w:t>assessment</w:t>
      </w:r>
    </w:p>
    <w:p>
      <w:pPr>
        <w:pStyle w:val="BodyText"/>
        <w:spacing w:line="292" w:lineRule="auto"/>
        <w:ind w:right="369"/>
      </w:pPr>
      <w:r>
        <w:rPr>
          <w:color w:val="6E6158"/>
        </w:rPr>
        <w:t>patent right licensing agreements, patentability, and intellectual property counseling and </w:t>
      </w:r>
      <w:r>
        <w:rPr>
          <w:color w:val="6E6158"/>
        </w:rPr>
        <w:t>due</w:t>
      </w:r>
      <w:r>
        <w:rPr>
          <w:color w:val="6E6158"/>
          <w:spacing w:val="40"/>
        </w:rPr>
        <w:t> </w:t>
      </w:r>
      <w:r>
        <w:rPr>
          <w:color w:val="6E6158"/>
          <w:spacing w:val="-2"/>
        </w:rPr>
        <w:t>diligence.</w:t>
      </w:r>
    </w:p>
    <w:p>
      <w:pPr>
        <w:pStyle w:val="BodyText"/>
        <w:spacing w:line="295" w:lineRule="auto" w:before="201"/>
        <w:ind w:right="369"/>
      </w:pPr>
      <w:r>
        <w:rPr>
          <w:color w:val="6E6158"/>
        </w:rPr>
        <w:t>He handles patent prosecution matters and support litigation for a diverse range of technology</w:t>
      </w:r>
      <w:r>
        <w:rPr>
          <w:color w:val="6E6158"/>
          <w:spacing w:val="40"/>
        </w:rPr>
        <w:t> </w:t>
      </w:r>
      <w:r>
        <w:rPr>
          <w:color w:val="6E6158"/>
        </w:rPr>
        <w:t>companies in the battery storage, biotechnology, medical devices, biopharmaceuticals,</w:t>
      </w:r>
      <w:r>
        <w:rPr>
          <w:color w:val="6E6158"/>
          <w:spacing w:val="40"/>
        </w:rPr>
        <w:t> </w:t>
      </w:r>
      <w:r>
        <w:rPr>
          <w:color w:val="6E6158"/>
        </w:rPr>
        <w:t>pharmaceuticals, stem cell technologies (including cell therapy such as tissue engineering), </w:t>
      </w:r>
      <w:r>
        <w:rPr>
          <w:color w:val="6E6158"/>
        </w:rPr>
        <w:t>and</w:t>
      </w:r>
      <w:r>
        <w:rPr>
          <w:color w:val="6E6158"/>
          <w:spacing w:val="40"/>
        </w:rPr>
        <w:t> </w:t>
      </w:r>
      <w:r>
        <w:rPr>
          <w:color w:val="6E6158"/>
        </w:rPr>
        <w:t>telecommunications and electronics industries. He counsels clients on small molecule</w:t>
      </w:r>
      <w:r>
        <w:rPr>
          <w:color w:val="6E6158"/>
          <w:spacing w:val="40"/>
        </w:rPr>
        <w:t> </w:t>
      </w:r>
      <w:r>
        <w:rPr>
          <w:color w:val="6E6158"/>
        </w:rPr>
        <w:t>pharmaceutical</w:t>
      </w:r>
      <w:r>
        <w:rPr>
          <w:color w:val="6E6158"/>
          <w:spacing w:val="40"/>
        </w:rPr>
        <w:t> </w:t>
      </w:r>
      <w:r>
        <w:rPr>
          <w:color w:val="6E6158"/>
        </w:rPr>
        <w:t>patent</w:t>
      </w:r>
      <w:r>
        <w:rPr>
          <w:color w:val="6E6158"/>
          <w:spacing w:val="40"/>
        </w:rPr>
        <w:t> </w:t>
      </w:r>
      <w:r>
        <w:rPr>
          <w:color w:val="6E6158"/>
        </w:rPr>
        <w:t>matters,</w:t>
      </w:r>
      <w:r>
        <w:rPr>
          <w:color w:val="6E6158"/>
          <w:spacing w:val="40"/>
        </w:rPr>
        <w:t> </w:t>
      </w:r>
      <w:r>
        <w:rPr>
          <w:color w:val="6E6158"/>
        </w:rPr>
        <w:t>including</w:t>
      </w:r>
      <w:r>
        <w:rPr>
          <w:color w:val="6E6158"/>
          <w:spacing w:val="40"/>
        </w:rPr>
        <w:t> </w:t>
      </w:r>
      <w:r>
        <w:rPr>
          <w:color w:val="6E6158"/>
        </w:rPr>
        <w:t>new</w:t>
      </w:r>
      <w:r>
        <w:rPr>
          <w:color w:val="6E6158"/>
          <w:spacing w:val="40"/>
        </w:rPr>
        <w:t> </w:t>
      </w:r>
      <w:r>
        <w:rPr>
          <w:color w:val="6E6158"/>
        </w:rPr>
        <w:t>chemical</w:t>
      </w:r>
      <w:r>
        <w:rPr>
          <w:color w:val="6E6158"/>
          <w:spacing w:val="40"/>
        </w:rPr>
        <w:t> </w:t>
      </w:r>
      <w:r>
        <w:rPr>
          <w:color w:val="6E6158"/>
        </w:rPr>
        <w:t>entity</w:t>
      </w:r>
      <w:r>
        <w:rPr>
          <w:color w:val="6E6158"/>
          <w:spacing w:val="40"/>
        </w:rPr>
        <w:t> </w:t>
      </w:r>
      <w:r>
        <w:rPr>
          <w:color w:val="6E6158"/>
        </w:rPr>
        <w:t>and</w:t>
      </w:r>
      <w:r>
        <w:rPr>
          <w:color w:val="6E6158"/>
          <w:spacing w:val="40"/>
        </w:rPr>
        <w:t> </w:t>
      </w:r>
      <w:r>
        <w:rPr>
          <w:color w:val="6E6158"/>
        </w:rPr>
        <w:t>formulation</w:t>
      </w:r>
      <w:r>
        <w:rPr>
          <w:color w:val="6E6158"/>
          <w:spacing w:val="40"/>
        </w:rPr>
        <w:t> </w:t>
      </w:r>
      <w:r>
        <w:rPr>
          <w:color w:val="6E6158"/>
        </w:rPr>
        <w:t>patents,</w:t>
      </w:r>
      <w:r>
        <w:rPr>
          <w:color w:val="6E6158"/>
          <w:spacing w:val="40"/>
        </w:rPr>
        <w:t> </w:t>
      </w:r>
      <w:r>
        <w:rPr>
          <w:color w:val="6E6158"/>
        </w:rPr>
        <w:t>and</w:t>
      </w:r>
    </w:p>
    <w:p>
      <w:pPr>
        <w:pStyle w:val="BodyText"/>
        <w:spacing w:line="295" w:lineRule="auto"/>
        <w:ind w:right="369"/>
      </w:pPr>
      <w:r>
        <w:rPr>
          <w:color w:val="6E6158"/>
        </w:rPr>
        <w:t>related paragraph IV certification issues in association with new drug application or </w:t>
      </w:r>
      <w:r>
        <w:rPr>
          <w:color w:val="6E6158"/>
        </w:rPr>
        <w:t>abbreviated</w:t>
      </w:r>
      <w:r>
        <w:rPr>
          <w:color w:val="6E6158"/>
          <w:spacing w:val="40"/>
        </w:rPr>
        <w:t> </w:t>
      </w:r>
      <w:r>
        <w:rPr>
          <w:color w:val="6E6158"/>
        </w:rPr>
        <w:t>new drug application matters. Dr. Li works with companies at all stages, from early innovation</w:t>
      </w:r>
      <w:r>
        <w:rPr>
          <w:color w:val="6E6158"/>
          <w:spacing w:val="40"/>
        </w:rPr>
        <w:t> </w:t>
      </w:r>
      <w:r>
        <w:rPr>
          <w:color w:val="6E6158"/>
        </w:rPr>
        <w:t>through</w:t>
      </w:r>
      <w:r>
        <w:rPr>
          <w:color w:val="6E6158"/>
          <w:spacing w:val="38"/>
        </w:rPr>
        <w:t> </w:t>
      </w:r>
      <w:r>
        <w:rPr>
          <w:color w:val="6E6158"/>
        </w:rPr>
        <w:t>commercialization,</w:t>
      </w:r>
      <w:r>
        <w:rPr>
          <w:color w:val="6E6158"/>
          <w:spacing w:val="38"/>
        </w:rPr>
        <w:t> </w:t>
      </w:r>
      <w:r>
        <w:rPr>
          <w:color w:val="6E6158"/>
        </w:rPr>
        <w:t>helping</w:t>
      </w:r>
      <w:r>
        <w:rPr>
          <w:color w:val="6E6158"/>
          <w:spacing w:val="38"/>
        </w:rPr>
        <w:t> </w:t>
      </w:r>
      <w:r>
        <w:rPr>
          <w:color w:val="6E6158"/>
        </w:rPr>
        <w:t>them</w:t>
      </w:r>
      <w:r>
        <w:rPr>
          <w:color w:val="6E6158"/>
          <w:spacing w:val="38"/>
        </w:rPr>
        <w:t> </w:t>
      </w:r>
      <w:r>
        <w:rPr>
          <w:color w:val="6E6158"/>
        </w:rPr>
        <w:t>build</w:t>
      </w:r>
      <w:r>
        <w:rPr>
          <w:color w:val="6E6158"/>
          <w:spacing w:val="38"/>
        </w:rPr>
        <w:t> </w:t>
      </w:r>
      <w:r>
        <w:rPr>
          <w:color w:val="6E6158"/>
        </w:rPr>
        <w:t>and</w:t>
      </w:r>
      <w:r>
        <w:rPr>
          <w:color w:val="6E6158"/>
          <w:spacing w:val="38"/>
        </w:rPr>
        <w:t> </w:t>
      </w:r>
      <w:r>
        <w:rPr>
          <w:color w:val="6E6158"/>
        </w:rPr>
        <w:t>manage</w:t>
      </w:r>
      <w:r>
        <w:rPr>
          <w:color w:val="6E6158"/>
          <w:spacing w:val="38"/>
        </w:rPr>
        <w:t> </w:t>
      </w:r>
      <w:r>
        <w:rPr>
          <w:color w:val="6E6158"/>
        </w:rPr>
        <w:t>strong</w:t>
      </w:r>
      <w:r>
        <w:rPr>
          <w:color w:val="6E6158"/>
          <w:spacing w:val="38"/>
        </w:rPr>
        <w:t> </w:t>
      </w:r>
      <w:r>
        <w:rPr>
          <w:color w:val="6E6158"/>
        </w:rPr>
        <w:t>patent</w:t>
      </w:r>
      <w:r>
        <w:rPr>
          <w:color w:val="6E6158"/>
          <w:spacing w:val="38"/>
        </w:rPr>
        <w:t> </w:t>
      </w:r>
      <w:r>
        <w:rPr>
          <w:color w:val="6E6158"/>
        </w:rPr>
        <w:t>portfolios</w:t>
      </w:r>
      <w:r>
        <w:rPr>
          <w:color w:val="6E6158"/>
          <w:spacing w:val="38"/>
        </w:rPr>
        <w:t> </w:t>
      </w:r>
      <w:r>
        <w:rPr>
          <w:color w:val="6E6158"/>
        </w:rPr>
        <w:t>aligned with their business objectives.</w:t>
      </w:r>
    </w:p>
    <w:p>
      <w:pPr>
        <w:pStyle w:val="BodyText"/>
        <w:spacing w:line="295" w:lineRule="auto" w:before="196"/>
        <w:ind w:right="358"/>
      </w:pPr>
      <w:r>
        <w:rPr>
          <w:color w:val="6E6158"/>
        </w:rPr>
        <w:t>Early in his career, Dr. Li presented on IP protection related to prior art challenges faced by the industry of traditional Chinese Medicine (“TCM”) at the 2005 Hong Kong Jockey Club </w:t>
      </w:r>
      <w:r>
        <w:rPr>
          <w:color w:val="6E6158"/>
        </w:rPr>
        <w:t>Traditional</w:t>
      </w:r>
      <w:r>
        <w:rPr>
          <w:color w:val="6E6158"/>
          <w:spacing w:val="40"/>
        </w:rPr>
        <w:t> </w:t>
      </w:r>
      <w:r>
        <w:rPr>
          <w:color w:val="6E6158"/>
        </w:rPr>
        <w:t>Chinese Medicine Institute Symposium. Dr. Li proposed a TCM IP protection protocol, known as</w:t>
      </w:r>
      <w:r>
        <w:rPr>
          <w:color w:val="6E6158"/>
          <w:spacing w:val="40"/>
        </w:rPr>
        <w:t> </w:t>
      </w:r>
      <w:r>
        <w:rPr>
          <w:color w:val="6E6158"/>
        </w:rPr>
        <w:t>“finger</w:t>
      </w:r>
      <w:r>
        <w:rPr>
          <w:color w:val="6E6158"/>
          <w:spacing w:val="26"/>
        </w:rPr>
        <w:t> </w:t>
      </w:r>
      <w:r>
        <w:rPr>
          <w:color w:val="6E6158"/>
        </w:rPr>
        <w:t>printing,”</w:t>
      </w:r>
      <w:r>
        <w:rPr>
          <w:color w:val="6E6158"/>
          <w:spacing w:val="26"/>
        </w:rPr>
        <w:t> </w:t>
      </w:r>
      <w:r>
        <w:rPr>
          <w:color w:val="6E6158"/>
        </w:rPr>
        <w:t>which</w:t>
      </w:r>
      <w:r>
        <w:rPr>
          <w:color w:val="6E6158"/>
          <w:spacing w:val="26"/>
        </w:rPr>
        <w:t> </w:t>
      </w:r>
      <w:r>
        <w:rPr>
          <w:color w:val="6E6158"/>
        </w:rPr>
        <w:t>is</w:t>
      </w:r>
      <w:r>
        <w:rPr>
          <w:color w:val="6E6158"/>
          <w:spacing w:val="26"/>
        </w:rPr>
        <w:t> </w:t>
      </w:r>
      <w:r>
        <w:rPr>
          <w:color w:val="6E6158"/>
        </w:rPr>
        <w:t>based</w:t>
      </w:r>
      <w:r>
        <w:rPr>
          <w:color w:val="6E6158"/>
          <w:spacing w:val="26"/>
        </w:rPr>
        <w:t> </w:t>
      </w:r>
      <w:r>
        <w:rPr>
          <w:color w:val="6E6158"/>
        </w:rPr>
        <w:t>on</w:t>
      </w:r>
      <w:r>
        <w:rPr>
          <w:color w:val="6E6158"/>
          <w:spacing w:val="26"/>
        </w:rPr>
        <w:t> </w:t>
      </w:r>
      <w:r>
        <w:rPr>
          <w:color w:val="6E6158"/>
        </w:rPr>
        <w:t>a</w:t>
      </w:r>
      <w:r>
        <w:rPr>
          <w:color w:val="6E6158"/>
          <w:spacing w:val="26"/>
        </w:rPr>
        <w:t> </w:t>
      </w:r>
      <w:r>
        <w:rPr>
          <w:color w:val="6E6158"/>
        </w:rPr>
        <w:t>marker</w:t>
      </w:r>
      <w:r>
        <w:rPr>
          <w:color w:val="6E6158"/>
          <w:spacing w:val="26"/>
        </w:rPr>
        <w:t> </w:t>
      </w:r>
      <w:r>
        <w:rPr>
          <w:color w:val="6E6158"/>
        </w:rPr>
        <w:t>compound(s)</w:t>
      </w:r>
      <w:r>
        <w:rPr>
          <w:color w:val="6E6158"/>
          <w:spacing w:val="26"/>
        </w:rPr>
        <w:t> </w:t>
      </w:r>
      <w:r>
        <w:rPr>
          <w:color w:val="6E6158"/>
        </w:rPr>
        <w:t>or</w:t>
      </w:r>
      <w:r>
        <w:rPr>
          <w:color w:val="6E6158"/>
          <w:spacing w:val="26"/>
        </w:rPr>
        <w:t> </w:t>
      </w:r>
      <w:r>
        <w:rPr>
          <w:color w:val="6E6158"/>
        </w:rPr>
        <w:t>the</w:t>
      </w:r>
      <w:r>
        <w:rPr>
          <w:color w:val="6E6158"/>
          <w:spacing w:val="26"/>
        </w:rPr>
        <w:t> </w:t>
      </w:r>
      <w:r>
        <w:rPr>
          <w:color w:val="6E6158"/>
        </w:rPr>
        <w:t>level(s)</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marker</w:t>
      </w:r>
    </w:p>
    <w:p>
      <w:pPr>
        <w:pStyle w:val="BodyText"/>
        <w:spacing w:before="1"/>
      </w:pPr>
      <w:r>
        <w:rPr>
          <w:color w:val="6E6158"/>
        </w:rPr>
        <w:t>compound(s)</w:t>
      </w:r>
      <w:r>
        <w:rPr>
          <w:color w:val="6E6158"/>
          <w:spacing w:val="11"/>
        </w:rPr>
        <w:t> </w:t>
      </w:r>
      <w:r>
        <w:rPr>
          <w:color w:val="6E6158"/>
        </w:rPr>
        <w:t>and</w:t>
      </w:r>
      <w:r>
        <w:rPr>
          <w:color w:val="6E6158"/>
          <w:spacing w:val="12"/>
        </w:rPr>
        <w:t> </w:t>
      </w:r>
      <w:r>
        <w:rPr>
          <w:color w:val="6E6158"/>
        </w:rPr>
        <w:t>is</w:t>
      </w:r>
      <w:r>
        <w:rPr>
          <w:color w:val="6E6158"/>
          <w:spacing w:val="12"/>
        </w:rPr>
        <w:t> </w:t>
      </w:r>
      <w:r>
        <w:rPr>
          <w:color w:val="6E6158"/>
        </w:rPr>
        <w:t>now</w:t>
      </w:r>
      <w:r>
        <w:rPr>
          <w:color w:val="6E6158"/>
          <w:spacing w:val="12"/>
        </w:rPr>
        <w:t> </w:t>
      </w:r>
      <w:r>
        <w:rPr>
          <w:color w:val="6E6158"/>
        </w:rPr>
        <w:t>widely</w:t>
      </w:r>
      <w:r>
        <w:rPr>
          <w:color w:val="6E6158"/>
          <w:spacing w:val="12"/>
        </w:rPr>
        <w:t> </w:t>
      </w:r>
      <w:r>
        <w:rPr>
          <w:color w:val="6E6158"/>
          <w:spacing w:val="-2"/>
        </w:rPr>
        <w:t>used.</w:t>
      </w:r>
    </w:p>
    <w:p>
      <w:pPr>
        <w:pStyle w:val="BodyText"/>
        <w:spacing w:before="14"/>
        <w:ind w:left="0"/>
      </w:pPr>
    </w:p>
    <w:p>
      <w:pPr>
        <w:pStyle w:val="BodyText"/>
        <w:spacing w:line="302" w:lineRule="auto"/>
        <w:ind w:right="369"/>
      </w:pPr>
      <w:r>
        <w:rPr>
          <w:color w:val="6E6158"/>
        </w:rPr>
        <w:t>Dr. Li has extensive experience in life sciences as related intellectual property matters. He assisted</w:t>
      </w:r>
      <w:r>
        <w:rPr>
          <w:color w:val="6E6158"/>
          <w:spacing w:val="40"/>
        </w:rPr>
        <w:t> </w:t>
      </w:r>
      <w:r>
        <w:rPr>
          <w:color w:val="6E6158"/>
        </w:rPr>
        <w:t>UCLA</w:t>
      </w:r>
      <w:r>
        <w:rPr>
          <w:color w:val="6E6158"/>
          <w:spacing w:val="23"/>
        </w:rPr>
        <w:t> </w:t>
      </w:r>
      <w:r>
        <w:rPr>
          <w:color w:val="6E6158"/>
        </w:rPr>
        <w:t>in</w:t>
      </w:r>
      <w:r>
        <w:rPr>
          <w:color w:val="6E6158"/>
          <w:spacing w:val="23"/>
        </w:rPr>
        <w:t> </w:t>
      </w:r>
      <w:r>
        <w:rPr>
          <w:color w:val="6E6158"/>
        </w:rPr>
        <w:t>securing</w:t>
      </w:r>
      <w:r>
        <w:rPr>
          <w:color w:val="6E6158"/>
          <w:spacing w:val="23"/>
        </w:rPr>
        <w:t> </w:t>
      </w:r>
      <w:r>
        <w:rPr>
          <w:color w:val="6E6158"/>
        </w:rPr>
        <w:t>a</w:t>
      </w:r>
      <w:r>
        <w:rPr>
          <w:color w:val="6E6158"/>
          <w:spacing w:val="23"/>
        </w:rPr>
        <w:t> </w:t>
      </w:r>
      <w:r>
        <w:rPr>
          <w:color w:val="6E6158"/>
        </w:rPr>
        <w:t>large</w:t>
      </w:r>
      <w:r>
        <w:rPr>
          <w:color w:val="6E6158"/>
          <w:spacing w:val="23"/>
        </w:rPr>
        <w:t> </w:t>
      </w:r>
      <w:r>
        <w:rPr>
          <w:color w:val="6E6158"/>
        </w:rPr>
        <w:t>portfolio</w:t>
      </w:r>
      <w:r>
        <w:rPr>
          <w:color w:val="6E6158"/>
          <w:spacing w:val="23"/>
        </w:rPr>
        <w:t> </w:t>
      </w:r>
      <w:r>
        <w:rPr>
          <w:color w:val="6E6158"/>
        </w:rPr>
        <w:t>of</w:t>
      </w:r>
      <w:r>
        <w:rPr>
          <w:color w:val="6E6158"/>
          <w:spacing w:val="23"/>
        </w:rPr>
        <w:t> </w:t>
      </w:r>
      <w:r>
        <w:rPr>
          <w:color w:val="6E6158"/>
        </w:rPr>
        <w:t>patents</w:t>
      </w:r>
      <w:r>
        <w:rPr>
          <w:color w:val="6E6158"/>
          <w:spacing w:val="23"/>
        </w:rPr>
        <w:t> </w:t>
      </w:r>
      <w:r>
        <w:rPr>
          <w:color w:val="6E6158"/>
        </w:rPr>
        <w:t>on</w:t>
      </w:r>
      <w:r>
        <w:rPr>
          <w:color w:val="6E6158"/>
          <w:spacing w:val="23"/>
        </w:rPr>
        <w:t> </w:t>
      </w:r>
      <w:r>
        <w:rPr>
          <w:color w:val="6E6158"/>
        </w:rPr>
        <w:t>a</w:t>
      </w:r>
      <w:r>
        <w:rPr>
          <w:color w:val="6E6158"/>
          <w:spacing w:val="23"/>
        </w:rPr>
        <w:t> </w:t>
      </w:r>
      <w:r>
        <w:rPr>
          <w:color w:val="6E6158"/>
        </w:rPr>
        <w:t>protein</w:t>
      </w:r>
      <w:r>
        <w:rPr>
          <w:color w:val="6E6158"/>
          <w:spacing w:val="23"/>
        </w:rPr>
        <w:t> </w:t>
      </w:r>
      <w:r>
        <w:rPr>
          <w:color w:val="6E6158"/>
        </w:rPr>
        <w:t>discovered</w:t>
      </w:r>
      <w:r>
        <w:rPr>
          <w:color w:val="6E6158"/>
          <w:spacing w:val="23"/>
        </w:rPr>
        <w:t> </w:t>
      </w:r>
      <w:r>
        <w:rPr>
          <w:color w:val="6E6158"/>
        </w:rPr>
        <w:t>by</w:t>
      </w:r>
      <w:r>
        <w:rPr>
          <w:color w:val="6E6158"/>
          <w:spacing w:val="23"/>
        </w:rPr>
        <w:t> </w:t>
      </w:r>
      <w:r>
        <w:rPr>
          <w:color w:val="6E6158"/>
        </w:rPr>
        <w:t>a</w:t>
      </w:r>
      <w:r>
        <w:rPr>
          <w:color w:val="6E6158"/>
          <w:spacing w:val="23"/>
        </w:rPr>
        <w:t> </w:t>
      </w:r>
      <w:r>
        <w:rPr>
          <w:color w:val="6E6158"/>
        </w:rPr>
        <w:t>group</w:t>
      </w:r>
      <w:r>
        <w:rPr>
          <w:color w:val="6E6158"/>
          <w:spacing w:val="23"/>
        </w:rPr>
        <w:t> </w:t>
      </w:r>
      <w:r>
        <w:rPr>
          <w:color w:val="6E6158"/>
        </w:rPr>
        <w:t>of</w:t>
      </w:r>
      <w:r>
        <w:rPr>
          <w:color w:val="6E6158"/>
          <w:spacing w:val="23"/>
        </w:rPr>
        <w:t> </w:t>
      </w:r>
      <w:r>
        <w:rPr>
          <w:color w:val="6E6158"/>
        </w:rPr>
        <w:t>UCLA</w:t>
      </w:r>
    </w:p>
    <w:p>
      <w:pPr>
        <w:pStyle w:val="BodyText"/>
        <w:spacing w:line="292" w:lineRule="auto"/>
        <w:ind w:right="358"/>
      </w:pPr>
      <w:r>
        <w:rPr>
          <w:color w:val="6E6158"/>
        </w:rPr>
        <w:t>professors. This portfolio successfully grew from the UCLA research laboratories to become the</w:t>
      </w:r>
      <w:r>
        <w:rPr>
          <w:color w:val="6E6158"/>
          <w:spacing w:val="40"/>
        </w:rPr>
        <w:t> </w:t>
      </w:r>
      <w:r>
        <w:rPr>
          <w:color w:val="6E6158"/>
        </w:rPr>
        <w:t>foundation of a publicly-traded company.</w:t>
      </w:r>
    </w:p>
    <w:p>
      <w:pPr>
        <w:pStyle w:val="BodyText"/>
        <w:spacing w:before="187"/>
      </w:pPr>
      <w:r>
        <w:rPr>
          <w:color w:val="6E6158"/>
        </w:rPr>
        <w:t>He</w:t>
      </w:r>
      <w:r>
        <w:rPr>
          <w:color w:val="6E6158"/>
          <w:spacing w:val="9"/>
        </w:rPr>
        <w:t> </w:t>
      </w:r>
      <w:r>
        <w:rPr>
          <w:color w:val="6E6158"/>
        </w:rPr>
        <w:t>is</w:t>
      </w:r>
      <w:r>
        <w:rPr>
          <w:color w:val="6E6158"/>
          <w:spacing w:val="9"/>
        </w:rPr>
        <w:t> </w:t>
      </w:r>
      <w:r>
        <w:rPr>
          <w:color w:val="6E6158"/>
        </w:rPr>
        <w:t>also</w:t>
      </w:r>
      <w:r>
        <w:rPr>
          <w:color w:val="6E6158"/>
          <w:spacing w:val="9"/>
        </w:rPr>
        <w:t> </w:t>
      </w:r>
      <w:r>
        <w:rPr>
          <w:color w:val="6E6158"/>
        </w:rPr>
        <w:t>recognized</w:t>
      </w:r>
      <w:r>
        <w:rPr>
          <w:color w:val="6E6158"/>
          <w:spacing w:val="9"/>
        </w:rPr>
        <w:t> </w:t>
      </w:r>
      <w:r>
        <w:rPr>
          <w:color w:val="6E6158"/>
        </w:rPr>
        <w:t>for</w:t>
      </w:r>
      <w:r>
        <w:rPr>
          <w:color w:val="6E6158"/>
          <w:spacing w:val="9"/>
        </w:rPr>
        <w:t> </w:t>
      </w:r>
      <w:r>
        <w:rPr>
          <w:color w:val="6E6158"/>
        </w:rPr>
        <w:t>his</w:t>
      </w:r>
      <w:r>
        <w:rPr>
          <w:color w:val="6E6158"/>
          <w:spacing w:val="9"/>
        </w:rPr>
        <w:t> </w:t>
      </w:r>
      <w:r>
        <w:rPr>
          <w:color w:val="6E6158"/>
        </w:rPr>
        <w:t>work</w:t>
      </w:r>
      <w:r>
        <w:rPr>
          <w:color w:val="6E6158"/>
          <w:spacing w:val="9"/>
        </w:rPr>
        <w:t> </w:t>
      </w:r>
      <w:r>
        <w:rPr>
          <w:color w:val="6E6158"/>
        </w:rPr>
        <w:t>in</w:t>
      </w:r>
      <w:r>
        <w:rPr>
          <w:color w:val="6E6158"/>
          <w:spacing w:val="9"/>
        </w:rPr>
        <w:t> </w:t>
      </w:r>
      <w:r>
        <w:rPr>
          <w:color w:val="6E6158"/>
        </w:rPr>
        <w:t>global</w:t>
      </w:r>
      <w:r>
        <w:rPr>
          <w:color w:val="6E6158"/>
          <w:spacing w:val="9"/>
        </w:rPr>
        <w:t> </w:t>
      </w:r>
      <w:r>
        <w:rPr>
          <w:color w:val="6E6158"/>
        </w:rPr>
        <w:t>IP</w:t>
      </w:r>
      <w:r>
        <w:rPr>
          <w:color w:val="6E6158"/>
          <w:spacing w:val="9"/>
        </w:rPr>
        <w:t> </w:t>
      </w:r>
      <w:r>
        <w:rPr>
          <w:color w:val="6E6158"/>
        </w:rPr>
        <w:t>strategy.</w:t>
      </w:r>
      <w:r>
        <w:rPr>
          <w:color w:val="6E6158"/>
          <w:spacing w:val="9"/>
        </w:rPr>
        <w:t> </w:t>
      </w:r>
      <w:r>
        <w:rPr>
          <w:color w:val="6E6158"/>
        </w:rPr>
        <w:t>He</w:t>
      </w:r>
      <w:r>
        <w:rPr>
          <w:color w:val="6E6158"/>
          <w:spacing w:val="9"/>
        </w:rPr>
        <w:t> </w:t>
      </w:r>
      <w:r>
        <w:rPr>
          <w:color w:val="6E6158"/>
        </w:rPr>
        <w:t>has</w:t>
      </w:r>
      <w:r>
        <w:rPr>
          <w:color w:val="6E6158"/>
          <w:spacing w:val="9"/>
        </w:rPr>
        <w:t> </w:t>
      </w:r>
      <w:r>
        <w:rPr>
          <w:color w:val="6E6158"/>
        </w:rPr>
        <w:t>advised</w:t>
      </w:r>
      <w:r>
        <w:rPr>
          <w:color w:val="6E6158"/>
          <w:spacing w:val="9"/>
        </w:rPr>
        <w:t> </w:t>
      </w:r>
      <w:r>
        <w:rPr>
          <w:color w:val="6E6158"/>
          <w:spacing w:val="-2"/>
        </w:rPr>
        <w:t>multinational</w:t>
      </w:r>
    </w:p>
    <w:p>
      <w:pPr>
        <w:pStyle w:val="BodyText"/>
        <w:spacing w:line="292" w:lineRule="auto" w:before="60"/>
        <w:ind w:right="369"/>
      </w:pPr>
      <w:r>
        <w:rPr>
          <w:color w:val="6E6158"/>
        </w:rPr>
        <w:t>organizations, including Sinopec TECH, on worldwide freedom to operate matters and was</w:t>
      </w:r>
      <w:r>
        <w:rPr>
          <w:color w:val="6E6158"/>
          <w:spacing w:val="40"/>
        </w:rPr>
        <w:t> </w:t>
      </w:r>
      <w:r>
        <w:rPr>
          <w:color w:val="6E6158"/>
        </w:rPr>
        <w:t>recognized</w:t>
      </w:r>
      <w:r>
        <w:rPr>
          <w:color w:val="6E6158"/>
          <w:spacing w:val="15"/>
        </w:rPr>
        <w:t> </w:t>
      </w:r>
      <w:r>
        <w:rPr>
          <w:color w:val="6E6158"/>
        </w:rPr>
        <w:t>by</w:t>
      </w:r>
      <w:r>
        <w:rPr>
          <w:color w:val="6E6158"/>
          <w:spacing w:val="15"/>
        </w:rPr>
        <w:t> </w:t>
      </w:r>
      <w:r>
        <w:rPr>
          <w:color w:val="6E6158"/>
        </w:rPr>
        <w:t>Legal</w:t>
      </w:r>
      <w:r>
        <w:rPr>
          <w:color w:val="6E6158"/>
          <w:spacing w:val="15"/>
        </w:rPr>
        <w:t> </w:t>
      </w:r>
      <w:r>
        <w:rPr>
          <w:color w:val="6E6158"/>
        </w:rPr>
        <w:t>500</w:t>
      </w:r>
      <w:r>
        <w:rPr>
          <w:color w:val="6E6158"/>
          <w:spacing w:val="15"/>
        </w:rPr>
        <w:t> </w:t>
      </w:r>
      <w:r>
        <w:rPr>
          <w:color w:val="6E6158"/>
        </w:rPr>
        <w:t>for</w:t>
      </w:r>
      <w:r>
        <w:rPr>
          <w:color w:val="6E6158"/>
          <w:spacing w:val="15"/>
        </w:rPr>
        <w:t> </w:t>
      </w:r>
      <w:r>
        <w:rPr>
          <w:color w:val="6E6158"/>
        </w:rPr>
        <w:t>his</w:t>
      </w:r>
      <w:r>
        <w:rPr>
          <w:color w:val="6E6158"/>
          <w:spacing w:val="15"/>
        </w:rPr>
        <w:t> </w:t>
      </w:r>
      <w:r>
        <w:rPr>
          <w:color w:val="6E6158"/>
        </w:rPr>
        <w:t>work</w:t>
      </w:r>
      <w:r>
        <w:rPr>
          <w:color w:val="6E6158"/>
          <w:spacing w:val="15"/>
        </w:rPr>
        <w:t> </w:t>
      </w:r>
      <w:r>
        <w:rPr>
          <w:color w:val="6E6158"/>
        </w:rPr>
        <w:t>in</w:t>
      </w:r>
      <w:r>
        <w:rPr>
          <w:color w:val="6E6158"/>
          <w:spacing w:val="15"/>
        </w:rPr>
        <w:t> </w:t>
      </w:r>
      <w:r>
        <w:rPr>
          <w:color w:val="6E6158"/>
        </w:rPr>
        <w:t>intellectual</w:t>
      </w:r>
      <w:r>
        <w:rPr>
          <w:color w:val="6E6158"/>
          <w:spacing w:val="15"/>
        </w:rPr>
        <w:t> </w:t>
      </w:r>
      <w:r>
        <w:rPr>
          <w:color w:val="6E6158"/>
        </w:rPr>
        <w:t>property,</w:t>
      </w:r>
      <w:r>
        <w:rPr>
          <w:color w:val="6E6158"/>
          <w:spacing w:val="15"/>
        </w:rPr>
        <w:t> </w:t>
      </w:r>
      <w:r>
        <w:rPr>
          <w:color w:val="6E6158"/>
        </w:rPr>
        <w:t>patent</w:t>
      </w:r>
      <w:r>
        <w:rPr>
          <w:color w:val="6E6158"/>
          <w:spacing w:val="15"/>
        </w:rPr>
        <w:t> </w:t>
      </w:r>
      <w:r>
        <w:rPr>
          <w:color w:val="6E6158"/>
        </w:rPr>
        <w:t>licensing,</w:t>
      </w:r>
      <w:r>
        <w:rPr>
          <w:color w:val="6E6158"/>
          <w:spacing w:val="15"/>
        </w:rPr>
        <w:t> </w:t>
      </w:r>
      <w:r>
        <w:rPr>
          <w:color w:val="6E6158"/>
        </w:rPr>
        <w:t>and</w:t>
      </w:r>
      <w:r>
        <w:rPr>
          <w:color w:val="6E6158"/>
          <w:spacing w:val="15"/>
        </w:rPr>
        <w:t> </w:t>
      </w:r>
      <w:r>
        <w:rPr>
          <w:color w:val="6E6158"/>
        </w:rPr>
        <w:t>transactions.</w:t>
      </w:r>
    </w:p>
    <w:p>
      <w:pPr>
        <w:pStyle w:val="BodyText"/>
        <w:spacing w:line="292" w:lineRule="auto" w:before="197"/>
        <w:ind w:right="369"/>
      </w:pPr>
      <w:r>
        <w:rPr>
          <w:color w:val="6E6158"/>
        </w:rPr>
        <w:t>Dr. Li earned his law degree from Vanderbilt Law School. Additionally, he earned his Ph.D. in Chemistry</w:t>
      </w:r>
      <w:r>
        <w:rPr>
          <w:color w:val="6E6158"/>
          <w:spacing w:val="13"/>
        </w:rPr>
        <w:t> </w:t>
      </w:r>
      <w:r>
        <w:rPr>
          <w:color w:val="6E6158"/>
        </w:rPr>
        <w:t>from</w:t>
      </w:r>
      <w:r>
        <w:rPr>
          <w:color w:val="6E6158"/>
          <w:spacing w:val="13"/>
        </w:rPr>
        <w:t> </w:t>
      </w:r>
      <w:r>
        <w:rPr>
          <w:color w:val="6E6158"/>
        </w:rPr>
        <w:t>the</w:t>
      </w:r>
      <w:r>
        <w:rPr>
          <w:color w:val="6E6158"/>
          <w:spacing w:val="13"/>
        </w:rPr>
        <w:t> </w:t>
      </w:r>
      <w:r>
        <w:rPr>
          <w:color w:val="6E6158"/>
        </w:rPr>
        <w:t>University</w:t>
      </w:r>
      <w:r>
        <w:rPr>
          <w:color w:val="6E6158"/>
          <w:spacing w:val="13"/>
        </w:rPr>
        <w:t> </w:t>
      </w:r>
      <w:r>
        <w:rPr>
          <w:color w:val="6E6158"/>
        </w:rPr>
        <w:t>of</w:t>
      </w:r>
      <w:r>
        <w:rPr>
          <w:color w:val="6E6158"/>
          <w:spacing w:val="13"/>
        </w:rPr>
        <w:t> </w:t>
      </w:r>
      <w:r>
        <w:rPr>
          <w:color w:val="6E6158"/>
        </w:rPr>
        <w:t>South</w:t>
      </w:r>
      <w:r>
        <w:rPr>
          <w:color w:val="6E6158"/>
          <w:spacing w:val="13"/>
        </w:rPr>
        <w:t> </w:t>
      </w:r>
      <w:r>
        <w:rPr>
          <w:color w:val="6E6158"/>
        </w:rPr>
        <w:t>Carolina</w:t>
      </w:r>
      <w:r>
        <w:rPr>
          <w:color w:val="6E6158"/>
          <w:spacing w:val="13"/>
        </w:rPr>
        <w:t> </w:t>
      </w:r>
      <w:r>
        <w:rPr>
          <w:color w:val="6E6158"/>
        </w:rPr>
        <w:t>and</w:t>
      </w:r>
      <w:r>
        <w:rPr>
          <w:color w:val="6E6158"/>
          <w:spacing w:val="13"/>
        </w:rPr>
        <w:t> </w:t>
      </w:r>
      <w:r>
        <w:rPr>
          <w:color w:val="6E6158"/>
        </w:rPr>
        <w:t>a</w:t>
      </w:r>
      <w:r>
        <w:rPr>
          <w:color w:val="6E6158"/>
          <w:spacing w:val="13"/>
        </w:rPr>
        <w:t> </w:t>
      </w:r>
      <w:r>
        <w:rPr>
          <w:color w:val="6E6158"/>
        </w:rPr>
        <w:t>B.Sc.</w:t>
      </w:r>
      <w:r>
        <w:rPr>
          <w:color w:val="6E6158"/>
          <w:spacing w:val="13"/>
        </w:rPr>
        <w:t> </w:t>
      </w:r>
      <w:r>
        <w:rPr>
          <w:color w:val="6E6158"/>
        </w:rPr>
        <w:t>in</w:t>
      </w:r>
      <w:r>
        <w:rPr>
          <w:color w:val="6E6158"/>
          <w:spacing w:val="13"/>
        </w:rPr>
        <w:t> </w:t>
      </w:r>
      <w:r>
        <w:rPr>
          <w:color w:val="6E6158"/>
        </w:rPr>
        <w:t>Chemistry</w:t>
      </w:r>
      <w:r>
        <w:rPr>
          <w:color w:val="6E6158"/>
          <w:spacing w:val="13"/>
        </w:rPr>
        <w:t> </w:t>
      </w:r>
      <w:r>
        <w:rPr>
          <w:color w:val="6E6158"/>
        </w:rPr>
        <w:t>from</w:t>
      </w:r>
      <w:r>
        <w:rPr>
          <w:color w:val="6E6158"/>
          <w:spacing w:val="13"/>
        </w:rPr>
        <w:t> </w:t>
      </w:r>
      <w:r>
        <w:rPr>
          <w:color w:val="6E6158"/>
        </w:rPr>
        <w:t>Nankai</w:t>
      </w:r>
      <w:r>
        <w:rPr>
          <w:color w:val="6E6158"/>
          <w:spacing w:val="13"/>
        </w:rPr>
        <w:t> </w:t>
      </w:r>
      <w:r>
        <w:rPr>
          <w:color w:val="6E6158"/>
        </w:rPr>
        <w:t>University</w:t>
      </w:r>
      <w:r>
        <w:rPr>
          <w:color w:val="6E6158"/>
          <w:spacing w:val="13"/>
        </w:rPr>
        <w:t> </w:t>
      </w:r>
      <w:r>
        <w:rPr>
          <w:color w:val="6E6158"/>
        </w:rPr>
        <w:t>in</w:t>
      </w:r>
    </w:p>
    <w:p>
      <w:pPr>
        <w:pStyle w:val="BodyText"/>
        <w:spacing w:after="0" w:line="292" w:lineRule="auto"/>
        <w:sectPr>
          <w:type w:val="continuous"/>
          <w:pgSz w:w="12240" w:h="15840"/>
          <w:pgMar w:top="560" w:bottom="280" w:left="1440" w:right="1080"/>
        </w:sectPr>
      </w:pPr>
    </w:p>
    <w:p>
      <w:pPr>
        <w:pStyle w:val="BodyText"/>
        <w:spacing w:before="83"/>
      </w:pPr>
      <w:r>
        <w:rPr>
          <w:color w:val="6E6158"/>
        </w:rPr>
        <w:t>Tianjin,</w:t>
      </w:r>
      <w:r>
        <w:rPr>
          <w:color w:val="6E6158"/>
          <w:spacing w:val="12"/>
        </w:rPr>
        <w:t> </w:t>
      </w:r>
      <w:r>
        <w:rPr>
          <w:color w:val="6E6158"/>
        </w:rPr>
        <w:t>China.</w:t>
      </w:r>
      <w:r>
        <w:rPr>
          <w:color w:val="6E6158"/>
          <w:spacing w:val="13"/>
        </w:rPr>
        <w:t> </w:t>
      </w:r>
      <w:r>
        <w:rPr>
          <w:color w:val="6E6158"/>
        </w:rPr>
        <w:t>He</w:t>
      </w:r>
      <w:r>
        <w:rPr>
          <w:color w:val="6E6158"/>
          <w:spacing w:val="12"/>
        </w:rPr>
        <w:t> </w:t>
      </w:r>
      <w:r>
        <w:rPr>
          <w:color w:val="6E6158"/>
        </w:rPr>
        <w:t>speaks</w:t>
      </w:r>
      <w:r>
        <w:rPr>
          <w:color w:val="6E6158"/>
          <w:spacing w:val="13"/>
        </w:rPr>
        <w:t> </w:t>
      </w:r>
      <w:r>
        <w:rPr>
          <w:color w:val="6E6158"/>
        </w:rPr>
        <w:t>fluent</w:t>
      </w:r>
      <w:r>
        <w:rPr>
          <w:color w:val="6E6158"/>
          <w:spacing w:val="13"/>
        </w:rPr>
        <w:t> </w:t>
      </w:r>
      <w:r>
        <w:rPr>
          <w:color w:val="6E6158"/>
          <w:spacing w:val="-2"/>
        </w:rPr>
        <w:t>Mandarin.</w:t>
      </w:r>
    </w:p>
    <w:p>
      <w:pPr>
        <w:pStyle w:val="Heading2"/>
        <w:spacing w:before="213"/>
      </w:pPr>
      <w:r>
        <w:rPr>
          <w:color w:val="FF8100"/>
          <w:spacing w:val="-2"/>
        </w:rPr>
        <w:t>EDUCATION</w:t>
      </w:r>
    </w:p>
    <w:p>
      <w:pPr>
        <w:pStyle w:val="BodyText"/>
        <w:spacing w:before="28"/>
        <w:ind w:left="0"/>
        <w:rPr>
          <w:b/>
        </w:rPr>
      </w:pPr>
    </w:p>
    <w:p>
      <w:pPr>
        <w:pStyle w:val="BodyText"/>
      </w:pPr>
      <w:r>
        <w:rPr>
          <w:color w:val="6E6158"/>
        </w:rPr>
        <w:t>J.D.,</w:t>
      </w:r>
      <w:r>
        <w:rPr>
          <w:color w:val="6E6158"/>
          <w:spacing w:val="8"/>
        </w:rPr>
        <w:t> </w:t>
      </w:r>
      <w:r>
        <w:rPr>
          <w:color w:val="6E6158"/>
        </w:rPr>
        <w:t>Vanderbilt</w:t>
      </w:r>
      <w:r>
        <w:rPr>
          <w:color w:val="6E6158"/>
          <w:spacing w:val="9"/>
        </w:rPr>
        <w:t> </w:t>
      </w:r>
      <w:r>
        <w:rPr>
          <w:color w:val="6E6158"/>
        </w:rPr>
        <w:t>University</w:t>
      </w:r>
      <w:r>
        <w:rPr>
          <w:color w:val="6E6158"/>
          <w:spacing w:val="8"/>
        </w:rPr>
        <w:t> </w:t>
      </w:r>
      <w:r>
        <w:rPr>
          <w:color w:val="6E6158"/>
        </w:rPr>
        <w:t>Law</w:t>
      </w:r>
      <w:r>
        <w:rPr>
          <w:color w:val="6E6158"/>
          <w:spacing w:val="9"/>
        </w:rPr>
        <w:t> </w:t>
      </w:r>
      <w:r>
        <w:rPr>
          <w:color w:val="6E6158"/>
          <w:spacing w:val="-2"/>
        </w:rPr>
        <w:t>School</w:t>
      </w:r>
    </w:p>
    <w:p>
      <w:pPr>
        <w:pStyle w:val="BodyText"/>
        <w:spacing w:line="420" w:lineRule="auto" w:before="182"/>
        <w:ind w:right="5182"/>
      </w:pPr>
      <w:r>
        <w:rPr>
          <w:color w:val="6E6158"/>
        </w:rPr>
        <w:t>Ph.D, Chemistry, University of South </w:t>
      </w:r>
      <w:r>
        <w:rPr>
          <w:color w:val="6E6158"/>
        </w:rPr>
        <w:t>Carolina B.Sc, Chemistry, Nankai University</w:t>
      </w:r>
    </w:p>
    <w:p>
      <w:pPr>
        <w:spacing w:before="282"/>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w:t>
      </w:r>
      <w:r>
        <w:rPr>
          <w:color w:val="6E6158"/>
          <w:spacing w:val="8"/>
        </w:rPr>
        <w:t> </w:t>
      </w:r>
      <w:r>
        <w:rPr>
          <w:color w:val="6E6158"/>
          <w:spacing w:val="-2"/>
        </w:rPr>
        <w:t>EXPERIENCE</w:t>
      </w:r>
    </w:p>
    <w:p>
      <w:pPr>
        <w:pStyle w:val="BodyText"/>
        <w:spacing w:before="32"/>
        <w:ind w:left="0"/>
        <w:rPr>
          <w:b/>
        </w:rPr>
      </w:pPr>
    </w:p>
    <w:p>
      <w:pPr>
        <w:pStyle w:val="BodyText"/>
        <w:spacing w:before="1"/>
      </w:pPr>
      <w:r>
        <w:rPr>
          <w:color w:val="6E6158"/>
        </w:rPr>
        <w:t>International</w:t>
      </w:r>
      <w:r>
        <w:rPr>
          <w:color w:val="6E6158"/>
          <w:spacing w:val="28"/>
        </w:rPr>
        <w:t> </w:t>
      </w:r>
      <w:r>
        <w:rPr>
          <w:color w:val="6E6158"/>
          <w:spacing w:val="-5"/>
        </w:rPr>
        <w:t>Law</w:t>
      </w:r>
    </w:p>
    <w:p>
      <w:pPr>
        <w:pStyle w:val="BodyText"/>
        <w:spacing w:before="62"/>
        <w:ind w:left="0"/>
      </w:pPr>
    </w:p>
    <w:p>
      <w:pPr>
        <w:pStyle w:val="BodyText"/>
        <w:spacing w:line="427" w:lineRule="auto" w:before="1"/>
        <w:ind w:right="6728"/>
      </w:pPr>
      <w:r>
        <w:rPr>
          <w:color w:val="6E6158"/>
        </w:rPr>
        <w:t>Intellectual </w:t>
      </w:r>
      <w:r>
        <w:rPr>
          <w:color w:val="6E6158"/>
        </w:rPr>
        <w:t>Property </w:t>
      </w:r>
      <w:r>
        <w:rPr>
          <w:color w:val="6E6158"/>
          <w:spacing w:val="-2"/>
        </w:rPr>
        <w:t>Immigration</w:t>
      </w:r>
    </w:p>
    <w:p>
      <w:pPr>
        <w:pStyle w:val="Heading2"/>
        <w:spacing w:before="276"/>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ind w:left="0"/>
        <w:rPr>
          <w:b/>
        </w:rPr>
      </w:pPr>
    </w:p>
    <w:p>
      <w:pPr>
        <w:pStyle w:val="BodyText"/>
      </w:pPr>
      <w:r>
        <w:rPr>
          <w:color w:val="6E6158"/>
        </w:rPr>
        <w:t>American</w:t>
      </w:r>
      <w:r>
        <w:rPr>
          <w:color w:val="6E6158"/>
          <w:spacing w:val="13"/>
        </w:rPr>
        <w:t> </w:t>
      </w:r>
      <w:r>
        <w:rPr>
          <w:color w:val="6E6158"/>
        </w:rPr>
        <w:t>Bar</w:t>
      </w:r>
      <w:r>
        <w:rPr>
          <w:color w:val="6E6158"/>
          <w:spacing w:val="13"/>
        </w:rPr>
        <w:t> </w:t>
      </w:r>
      <w:r>
        <w:rPr>
          <w:color w:val="6E6158"/>
          <w:spacing w:val="-2"/>
        </w:rPr>
        <w:t>Association</w:t>
      </w:r>
    </w:p>
    <w:p>
      <w:pPr>
        <w:pStyle w:val="BodyText"/>
        <w:spacing w:before="174"/>
      </w:pPr>
      <w:r>
        <w:rPr>
          <w:color w:val="6E6158"/>
        </w:rPr>
        <w:t>American</w:t>
      </w:r>
      <w:r>
        <w:rPr>
          <w:color w:val="6E6158"/>
          <w:spacing w:val="17"/>
        </w:rPr>
        <w:t> </w:t>
      </w:r>
      <w:r>
        <w:rPr>
          <w:color w:val="6E6158"/>
        </w:rPr>
        <w:t>Intellectual</w:t>
      </w:r>
      <w:r>
        <w:rPr>
          <w:color w:val="6E6158"/>
          <w:spacing w:val="17"/>
        </w:rPr>
        <w:t> </w:t>
      </w:r>
      <w:r>
        <w:rPr>
          <w:color w:val="6E6158"/>
        </w:rPr>
        <w:t>Property</w:t>
      </w:r>
      <w:r>
        <w:rPr>
          <w:color w:val="6E6158"/>
          <w:spacing w:val="17"/>
        </w:rPr>
        <w:t> </w:t>
      </w:r>
      <w:r>
        <w:rPr>
          <w:color w:val="6E6158"/>
        </w:rPr>
        <w:t>Law</w:t>
      </w:r>
      <w:r>
        <w:rPr>
          <w:color w:val="6E6158"/>
          <w:spacing w:val="18"/>
        </w:rPr>
        <w:t> </w:t>
      </w:r>
      <w:r>
        <w:rPr>
          <w:color w:val="6E6158"/>
        </w:rPr>
        <w:t>Association</w:t>
      </w:r>
      <w:r>
        <w:rPr>
          <w:color w:val="6E6158"/>
          <w:spacing w:val="17"/>
        </w:rPr>
        <w:t> </w:t>
      </w:r>
      <w:r>
        <w:rPr>
          <w:color w:val="6E6158"/>
          <w:spacing w:val="-2"/>
        </w:rPr>
        <w:t>(AIPLA)</w:t>
      </w:r>
    </w:p>
    <w:p>
      <w:pPr>
        <w:pStyle w:val="BodyText"/>
        <w:spacing w:before="171"/>
        <w:ind w:left="0"/>
        <w:rPr>
          <w:sz w:val="24"/>
        </w:rPr>
      </w:pPr>
    </w:p>
    <w:p>
      <w:pPr>
        <w:pStyle w:val="Heading2"/>
      </w:pPr>
      <w:r>
        <w:rPr>
          <w:color w:val="FF8100"/>
          <w:spacing w:val="-2"/>
        </w:rPr>
        <w:t>ADMISSIONS</w:t>
      </w:r>
    </w:p>
    <w:p>
      <w:pPr>
        <w:pStyle w:val="BodyText"/>
        <w:spacing w:before="28"/>
        <w:ind w:left="0"/>
        <w:rPr>
          <w:b/>
        </w:rPr>
      </w:pPr>
    </w:p>
    <w:p>
      <w:pPr>
        <w:pStyle w:val="BodyText"/>
      </w:pPr>
      <w:r>
        <w:rPr>
          <w:color w:val="6E6158"/>
          <w:spacing w:val="-2"/>
        </w:rPr>
        <w:t>California</w:t>
      </w:r>
    </w:p>
    <w:p>
      <w:pPr>
        <w:pStyle w:val="BodyText"/>
        <w:spacing w:before="174"/>
      </w:pPr>
      <w:r>
        <w:rPr>
          <w:color w:val="6E6158"/>
        </w:rPr>
        <w:t>U.S.</w:t>
      </w:r>
      <w:r>
        <w:rPr>
          <w:color w:val="6E6158"/>
          <w:spacing w:val="10"/>
        </w:rPr>
        <w:t> </w:t>
      </w:r>
      <w:r>
        <w:rPr>
          <w:color w:val="6E6158"/>
        </w:rPr>
        <w:t>Patent</w:t>
      </w:r>
      <w:r>
        <w:rPr>
          <w:color w:val="6E6158"/>
          <w:spacing w:val="11"/>
        </w:rPr>
        <w:t> </w:t>
      </w:r>
      <w:r>
        <w:rPr>
          <w:color w:val="6E6158"/>
        </w:rPr>
        <w:t>and</w:t>
      </w:r>
      <w:r>
        <w:rPr>
          <w:color w:val="6E6158"/>
          <w:spacing w:val="11"/>
        </w:rPr>
        <w:t> </w:t>
      </w:r>
      <w:r>
        <w:rPr>
          <w:color w:val="6E6158"/>
        </w:rPr>
        <w:t>Trademark</w:t>
      </w:r>
      <w:r>
        <w:rPr>
          <w:color w:val="6E6158"/>
          <w:spacing w:val="11"/>
        </w:rPr>
        <w:t> </w:t>
      </w:r>
      <w:r>
        <w:rPr>
          <w:color w:val="6E6158"/>
          <w:spacing w:val="-2"/>
        </w:rPr>
        <w:t>Office</w:t>
      </w:r>
    </w:p>
    <w:p>
      <w:pPr>
        <w:pStyle w:val="BodyText"/>
        <w:spacing w:before="163"/>
        <w:ind w:left="0"/>
        <w:rPr>
          <w:sz w:val="24"/>
        </w:rPr>
      </w:pPr>
    </w:p>
    <w:p>
      <w:pPr>
        <w:pStyle w:val="Heading2"/>
      </w:pPr>
      <w:r>
        <w:rPr>
          <w:color w:val="FF8100"/>
          <w:spacing w:val="-2"/>
        </w:rPr>
        <w:t>LANGUAGES</w:t>
      </w:r>
    </w:p>
    <w:p>
      <w:pPr>
        <w:pStyle w:val="BodyText"/>
        <w:spacing w:before="27"/>
        <w:ind w:left="0"/>
        <w:rPr>
          <w:b/>
        </w:rPr>
      </w:pPr>
    </w:p>
    <w:p>
      <w:pPr>
        <w:pStyle w:val="BodyText"/>
      </w:pPr>
      <w:r>
        <w:rPr>
          <w:color w:val="6E6158"/>
          <w:spacing w:val="-2"/>
        </w:rPr>
        <w:t>Mandarin</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2"/>
      <w:ind w:left="99"/>
      <w:outlineLvl w:val="1"/>
    </w:pPr>
    <w:rPr>
      <w:rFonts w:ascii="Century Gothic" w:hAnsi="Century Gothic" w:eastAsia="Century Gothic" w:cs="Century Gothic"/>
      <w:b/>
      <w:bCs/>
      <w:sz w:val="29"/>
      <w:szCs w:val="2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intellectual-property-and-ip-litigation/" TargetMode="External"/><Relationship Id="rId9" Type="http://schemas.openxmlformats.org/officeDocument/2006/relationships/hyperlink" Target="https://www.fennemorelaw.com/contact-us/fennemore-forward/" TargetMode="External"/><Relationship Id="rId10" Type="http://schemas.openxmlformats.org/officeDocument/2006/relationships/hyperlink" Target="mailto:zli@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Zhaoyang "Paul" Li - Fennemore</dc:title>
  <dcterms:created xsi:type="dcterms:W3CDTF">2026-06-26T00:04:20Z</dcterms:created>
  <dcterms:modified xsi:type="dcterms:W3CDTF">2026-06-26T00:04:20Z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v10.0.20070.1</vt:lpwstr>
  </property>
  <property fmtid="{D5CDD505-2E9C-101B-9397-08002B2CF9AE}" pid="3" name="Created">
    <vt:filetime>2026-06-26T00:00:00Z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2026-06-26T00:00:00Z</vt:filetime>
  </property>
  <property fmtid="{D5CDD505-2E9C-101B-9397-08002B2CF9AE}" pid="6" name="Producer">
    <vt:lpwstr>Skia/PDF m149</vt:lpwstr>
  </property>
</Properties>
</file>