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472815"/>
                <wp:effectExtent l="0" t="0" r="0" b="381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472815"/>
                          <a:chExt cx="6071870" cy="34728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lyciaMos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2037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20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204210">
                                <a:moveTo>
                                  <a:pt x="3033212" y="3203733"/>
                                </a:moveTo>
                                <a:lnTo>
                                  <a:pt x="0" y="3203733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203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369338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118601" y="320382"/>
                                </a:lnTo>
                                <a:lnTo>
                                  <a:pt x="2118601" y="315214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3204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ALYCIA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MOSS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Immigration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Coeur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d’Alene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208.956.0135</w:t>
                              </w:r>
                            </w:p>
                            <w:p>
                              <w:pPr>
                                <w:spacing w:line="319" w:lineRule="auto" w:before="109"/>
                                <w:ind w:left="807" w:right="809" w:hanging="1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Idaho Immigration: 208-956-0135 Washington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Immigration: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509-413-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1004</w:t>
                              </w:r>
                            </w:p>
                            <w:p>
                              <w:pPr>
                                <w:spacing w:before="47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208.956.0139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amoss@fennemorelaw.com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73.45pt;mso-position-horizontal-relative:char;mso-position-vertical-relative:line" id="docshapegroup1" coordorigin="0,0" coordsize="9562,546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5046" type="#_x0000_t75" id="docshape3" alt="AlyciaMoss bio" stroked="false">
                  <v:imagedata r:id="rId7" o:title=""/>
                </v:shape>
                <v:rect style="position:absolute;left:4784;top:423;width:4777;height:5046" id="docshape4" filled="true" fillcolor="#262424" stroked="false">
                  <v:fill type="solid"/>
                </v:rect>
                <v:shape style="position:absolute;left:5500;top:2156;width:3337;height:505" id="docshape5" coordorigin="5501,2156" coordsize="3337,505" path="m8837,2653l5501,2653,5501,2661,8837,2661,8837,2653xm8837,2156l5501,2156,5501,2165,8837,2165,8837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504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ALYCIA</w:t>
                        </w:r>
                        <w:r>
                          <w:rPr>
                            <w:color w:val="FFFFFF"/>
                            <w:spacing w:val="-2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MOSS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Immigration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Coeur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d’Alene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208.956.0135</w:t>
                        </w:r>
                      </w:p>
                      <w:p>
                        <w:pPr>
                          <w:spacing w:line="319" w:lineRule="auto" w:before="109"/>
                          <w:ind w:left="807" w:right="809" w:hanging="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Idaho Immigration: 208-956-0135 Washington</w:t>
                        </w:r>
                        <w:r>
                          <w:rPr>
                            <w:color w:val="FFFFFF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Immigration:</w:t>
                        </w:r>
                        <w:r>
                          <w:rPr>
                            <w:color w:val="FFFFFF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509-413-</w:t>
                        </w:r>
                        <w:r>
                          <w:rPr>
                            <w:color w:val="FFFFFF"/>
                            <w:sz w:val="17"/>
                          </w:rPr>
                          <w:t>1004</w:t>
                        </w:r>
                      </w:p>
                      <w:p>
                        <w:pPr>
                          <w:spacing w:before="47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208.956.0139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amoss@fennemorelaw.com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72"/>
      </w:pPr>
      <w:r>
        <w:rPr>
          <w:color w:val="FF8100"/>
        </w:rPr>
        <w:t>ALYCIA</w:t>
      </w:r>
      <w:r>
        <w:rPr>
          <w:color w:val="FF8100"/>
          <w:spacing w:val="9"/>
        </w:rPr>
        <w:t> </w:t>
      </w:r>
      <w:r>
        <w:rPr>
          <w:color w:val="FF8100"/>
          <w:spacing w:val="-4"/>
        </w:rPr>
        <w:t>MOSS</w:t>
      </w:r>
    </w:p>
    <w:p>
      <w:pPr>
        <w:pStyle w:val="BodyText"/>
        <w:spacing w:line="295" w:lineRule="auto" w:before="146"/>
        <w:ind w:right="654"/>
      </w:pPr>
      <w:r>
        <w:rPr>
          <w:color w:val="6E6158"/>
        </w:rPr>
        <w:t>Alycia Moss is a Director in Fennemore’s Immigration practice group, focusing her practice on</w:t>
      </w:r>
      <w:r>
        <w:rPr>
          <w:color w:val="6E6158"/>
          <w:spacing w:val="40"/>
        </w:rPr>
        <w:t> </w:t>
      </w:r>
      <w:r>
        <w:rPr>
          <w:color w:val="6E6158"/>
        </w:rPr>
        <w:t>guiding</w:t>
      </w:r>
      <w:r>
        <w:rPr>
          <w:color w:val="6E6158"/>
          <w:spacing w:val="35"/>
        </w:rPr>
        <w:t> </w:t>
      </w:r>
      <w:r>
        <w:rPr>
          <w:color w:val="6E6158"/>
        </w:rPr>
        <w:t>businesses,</w:t>
      </w:r>
      <w:r>
        <w:rPr>
          <w:color w:val="6E6158"/>
          <w:spacing w:val="35"/>
        </w:rPr>
        <w:t> </w:t>
      </w:r>
      <w:r>
        <w:rPr>
          <w:color w:val="6E6158"/>
        </w:rPr>
        <w:t>families,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individuals</w:t>
      </w:r>
      <w:r>
        <w:rPr>
          <w:color w:val="6E6158"/>
          <w:spacing w:val="35"/>
        </w:rPr>
        <w:t> </w:t>
      </w:r>
      <w:r>
        <w:rPr>
          <w:color w:val="6E6158"/>
        </w:rPr>
        <w:t>through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complexities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U.S.</w:t>
      </w:r>
      <w:r>
        <w:rPr>
          <w:color w:val="6E6158"/>
          <w:spacing w:val="35"/>
        </w:rPr>
        <w:t> </w:t>
      </w:r>
      <w:r>
        <w:rPr>
          <w:color w:val="6E6158"/>
        </w:rPr>
        <w:t>immigration</w:t>
      </w:r>
      <w:r>
        <w:rPr>
          <w:color w:val="6E6158"/>
          <w:spacing w:val="35"/>
        </w:rPr>
        <w:t> </w:t>
      </w:r>
      <w:r>
        <w:rPr>
          <w:color w:val="6E6158"/>
        </w:rPr>
        <w:t>law. With</w:t>
      </w:r>
      <w:r>
        <w:rPr>
          <w:color w:val="6E6158"/>
          <w:spacing w:val="80"/>
        </w:rPr>
        <w:t> </w:t>
      </w:r>
      <w:r>
        <w:rPr>
          <w:color w:val="6E6158"/>
        </w:rPr>
        <w:t>almost two decades of immigration experience, she has represented clients before the United States Citizenship &amp; Immigration Services (USCIS), Immigration and Customs </w:t>
      </w:r>
      <w:r>
        <w:rPr>
          <w:color w:val="6E6158"/>
        </w:rPr>
        <w:t>Enforcement</w:t>
      </w:r>
      <w:r>
        <w:rPr>
          <w:color w:val="6E6158"/>
          <w:spacing w:val="40"/>
        </w:rPr>
        <w:t> </w:t>
      </w:r>
      <w:r>
        <w:rPr>
          <w:color w:val="6E6158"/>
        </w:rPr>
        <w:t>(ICE), Customs and Border Protection (CBP), the Executive Office of Immigration Review (EOIR),</w:t>
      </w:r>
      <w:r>
        <w:rPr>
          <w:color w:val="6E6158"/>
          <w:spacing w:val="40"/>
        </w:rPr>
        <w:t> </w:t>
      </w:r>
      <w:r>
        <w:rPr>
          <w:color w:val="6E6158"/>
        </w:rPr>
        <w:t>the Board of Immigration Appeals (BIA), the Administrative Appeals Office (AAO), the Board of</w:t>
      </w:r>
      <w:r>
        <w:rPr>
          <w:color w:val="6E6158"/>
          <w:spacing w:val="40"/>
        </w:rPr>
        <w:t> </w:t>
      </w:r>
      <w:r>
        <w:rPr>
          <w:color w:val="6E6158"/>
        </w:rPr>
        <w:t>Alien Labor Certification Appeals (BALCA), and federal courts.</w:t>
      </w:r>
    </w:p>
    <w:p>
      <w:pPr>
        <w:pStyle w:val="BodyText"/>
        <w:spacing w:line="295" w:lineRule="auto" w:before="200"/>
        <w:ind w:right="498"/>
      </w:pPr>
      <w:r>
        <w:rPr>
          <w:color w:val="6E6158"/>
        </w:rPr>
        <w:t>Alycia assists employers with petitions, visas, immigration compliance, and labor certifications, as</w:t>
      </w:r>
      <w:r>
        <w:rPr>
          <w:color w:val="6E6158"/>
          <w:spacing w:val="40"/>
        </w:rPr>
        <w:t> </w:t>
      </w:r>
      <w:r>
        <w:rPr>
          <w:color w:val="6E6158"/>
        </w:rPr>
        <w:t>well</w:t>
      </w:r>
      <w:r>
        <w:rPr>
          <w:color w:val="6E6158"/>
          <w:spacing w:val="35"/>
        </w:rPr>
        <w:t> </w:t>
      </w:r>
      <w:r>
        <w:rPr>
          <w:color w:val="6E6158"/>
        </w:rPr>
        <w:t>as</w:t>
      </w:r>
      <w:r>
        <w:rPr>
          <w:color w:val="6E6158"/>
          <w:spacing w:val="35"/>
        </w:rPr>
        <w:t> </w:t>
      </w:r>
      <w:r>
        <w:rPr>
          <w:color w:val="6E6158"/>
        </w:rPr>
        <w:t>guiding</w:t>
      </w:r>
      <w:r>
        <w:rPr>
          <w:color w:val="6E6158"/>
          <w:spacing w:val="35"/>
        </w:rPr>
        <w:t> </w:t>
      </w:r>
      <w:r>
        <w:rPr>
          <w:color w:val="6E6158"/>
        </w:rPr>
        <w:t>entrepreneurs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advocating</w:t>
      </w:r>
      <w:r>
        <w:rPr>
          <w:color w:val="6E6158"/>
          <w:spacing w:val="35"/>
        </w:rPr>
        <w:t> </w:t>
      </w:r>
      <w:r>
        <w:rPr>
          <w:color w:val="6E6158"/>
        </w:rPr>
        <w:t>for</w:t>
      </w:r>
      <w:r>
        <w:rPr>
          <w:color w:val="6E6158"/>
          <w:spacing w:val="35"/>
        </w:rPr>
        <w:t> </w:t>
      </w:r>
      <w:r>
        <w:rPr>
          <w:color w:val="6E6158"/>
        </w:rPr>
        <w:t>individuals</w:t>
      </w:r>
      <w:r>
        <w:rPr>
          <w:color w:val="6E6158"/>
          <w:spacing w:val="35"/>
        </w:rPr>
        <w:t> </w:t>
      </w:r>
      <w:r>
        <w:rPr>
          <w:color w:val="6E6158"/>
        </w:rPr>
        <w:t>seeking</w:t>
      </w:r>
      <w:r>
        <w:rPr>
          <w:color w:val="6E6158"/>
          <w:spacing w:val="35"/>
        </w:rPr>
        <w:t> </w:t>
      </w:r>
      <w:r>
        <w:rPr>
          <w:color w:val="6E6158"/>
        </w:rPr>
        <w:t>family-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employment-based immigration solutions. Alycia regularly serves as outside general counsel to leadership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human resources teams, providing practical, business-aligned legal guidance. Before joining</w:t>
      </w:r>
      <w:r>
        <w:rPr>
          <w:color w:val="6E6158"/>
          <w:spacing w:val="40"/>
        </w:rPr>
        <w:t> </w:t>
      </w:r>
      <w:r>
        <w:rPr>
          <w:color w:val="6E6158"/>
        </w:rPr>
        <w:t>Fennemore, Alycia built and managed a successful immigration practice. She is licensed to</w:t>
      </w:r>
      <w:r>
        <w:rPr>
          <w:color w:val="6E6158"/>
          <w:spacing w:val="40"/>
        </w:rPr>
        <w:t> </w:t>
      </w:r>
      <w:r>
        <w:rPr>
          <w:color w:val="6E6158"/>
        </w:rPr>
        <w:t>practice</w:t>
      </w:r>
      <w:r>
        <w:rPr>
          <w:color w:val="6E6158"/>
          <w:spacing w:val="22"/>
        </w:rPr>
        <w:t> </w:t>
      </w:r>
      <w:r>
        <w:rPr>
          <w:color w:val="6E6158"/>
        </w:rPr>
        <w:t>law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Idaho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Washington,</w:t>
      </w:r>
      <w:r>
        <w:rPr>
          <w:color w:val="6E6158"/>
          <w:spacing w:val="22"/>
        </w:rPr>
        <w:t> </w:t>
      </w:r>
      <w:r>
        <w:rPr>
          <w:color w:val="6E6158"/>
        </w:rPr>
        <w:t>as</w:t>
      </w:r>
      <w:r>
        <w:rPr>
          <w:color w:val="6E6158"/>
          <w:spacing w:val="22"/>
        </w:rPr>
        <w:t> </w:t>
      </w:r>
      <w:r>
        <w:rPr>
          <w:color w:val="6E6158"/>
        </w:rPr>
        <w:t>well</w:t>
      </w:r>
      <w:r>
        <w:rPr>
          <w:color w:val="6E6158"/>
          <w:spacing w:val="22"/>
        </w:rPr>
        <w:t> </w:t>
      </w:r>
      <w:r>
        <w:rPr>
          <w:color w:val="6E6158"/>
        </w:rPr>
        <w:t>as</w:t>
      </w:r>
      <w:r>
        <w:rPr>
          <w:color w:val="6E6158"/>
          <w:spacing w:val="22"/>
        </w:rPr>
        <w:t> </w:t>
      </w:r>
      <w:r>
        <w:rPr>
          <w:color w:val="6E6158"/>
        </w:rPr>
        <w:t>Canada,</w:t>
      </w:r>
      <w:r>
        <w:rPr>
          <w:color w:val="6E6158"/>
          <w:spacing w:val="22"/>
        </w:rPr>
        <w:t> </w:t>
      </w:r>
      <w:r>
        <w:rPr>
          <w:color w:val="6E6158"/>
        </w:rPr>
        <w:t>where</w:t>
      </w:r>
      <w:r>
        <w:rPr>
          <w:color w:val="6E6158"/>
          <w:spacing w:val="22"/>
        </w:rPr>
        <w:t> </w:t>
      </w:r>
      <w:r>
        <w:rPr>
          <w:color w:val="6E6158"/>
        </w:rPr>
        <w:t>she</w:t>
      </w:r>
      <w:r>
        <w:rPr>
          <w:color w:val="6E6158"/>
          <w:spacing w:val="22"/>
        </w:rPr>
        <w:t> </w:t>
      </w:r>
      <w:r>
        <w:rPr>
          <w:color w:val="6E6158"/>
        </w:rPr>
        <w:t>is</w:t>
      </w:r>
      <w:r>
        <w:rPr>
          <w:color w:val="6E6158"/>
          <w:spacing w:val="22"/>
        </w:rPr>
        <w:t> </w:t>
      </w:r>
      <w:r>
        <w:rPr>
          <w:color w:val="6E6158"/>
        </w:rPr>
        <w:t>a</w:t>
      </w:r>
      <w:r>
        <w:rPr>
          <w:color w:val="6E6158"/>
          <w:spacing w:val="22"/>
        </w:rPr>
        <w:t> </w:t>
      </w:r>
      <w:r>
        <w:rPr>
          <w:color w:val="6E6158"/>
        </w:rPr>
        <w:t>Barrister</w:t>
      </w:r>
      <w:r>
        <w:rPr>
          <w:color w:val="6E6158"/>
          <w:spacing w:val="22"/>
        </w:rPr>
        <w:t> </w:t>
      </w:r>
      <w:r>
        <w:rPr>
          <w:color w:val="6E6158"/>
        </w:rPr>
        <w:t>&amp;</w:t>
      </w:r>
      <w:r>
        <w:rPr>
          <w:color w:val="6E6158"/>
          <w:spacing w:val="22"/>
        </w:rPr>
        <w:t> </w:t>
      </w:r>
      <w:r>
        <w:rPr>
          <w:color w:val="6E6158"/>
        </w:rPr>
        <w:t>Solicitor.</w:t>
      </w:r>
    </w:p>
    <w:p>
      <w:pPr>
        <w:pStyle w:val="BodyText"/>
        <w:spacing w:before="201"/>
      </w:pP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2"/>
        </w:rPr>
        <w:t> </w:t>
      </w:r>
      <w:r>
        <w:rPr>
          <w:color w:val="6E6158"/>
        </w:rPr>
        <w:t>practice,</w:t>
      </w:r>
      <w:r>
        <w:rPr>
          <w:color w:val="6E6158"/>
          <w:spacing w:val="11"/>
        </w:rPr>
        <w:t> </w:t>
      </w:r>
      <w:r>
        <w:rPr>
          <w:color w:val="6E6158"/>
        </w:rPr>
        <w:t>she</w:t>
      </w:r>
      <w:r>
        <w:rPr>
          <w:color w:val="6E6158"/>
          <w:spacing w:val="12"/>
        </w:rPr>
        <w:t> </w:t>
      </w:r>
      <w:r>
        <w:rPr>
          <w:color w:val="6E6158"/>
        </w:rPr>
        <w:t>actively</w:t>
      </w:r>
      <w:r>
        <w:rPr>
          <w:color w:val="6E6158"/>
          <w:spacing w:val="12"/>
        </w:rPr>
        <w:t> </w:t>
      </w:r>
      <w:r>
        <w:rPr>
          <w:color w:val="6E6158"/>
        </w:rPr>
        <w:t>represents</w:t>
      </w:r>
      <w:r>
        <w:rPr>
          <w:color w:val="6E6158"/>
          <w:spacing w:val="11"/>
        </w:rPr>
        <w:t> </w:t>
      </w:r>
      <w:r>
        <w:rPr>
          <w:color w:val="6E6158"/>
        </w:rPr>
        <w:t>clients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industries,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including: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654"/>
      </w:pPr>
      <w:r>
        <w:rPr>
          <w:b/>
          <w:color w:val="6E6158"/>
        </w:rPr>
        <w:t>Agriculture and Food Processing: </w:t>
      </w:r>
      <w:r>
        <w:rPr>
          <w:color w:val="6E6158"/>
        </w:rPr>
        <w:t>Assisting farms, ranches, dairies, food processors, </w:t>
      </w:r>
      <w:r>
        <w:rPr>
          <w:color w:val="6E6158"/>
        </w:rPr>
        <w:t>packing</w:t>
      </w:r>
      <w:r>
        <w:rPr>
          <w:color w:val="6E6158"/>
          <w:spacing w:val="40"/>
        </w:rPr>
        <w:t> </w:t>
      </w:r>
      <w:r>
        <w:rPr>
          <w:color w:val="6E6158"/>
        </w:rPr>
        <w:t>houses,</w:t>
      </w:r>
      <w:r>
        <w:rPr>
          <w:color w:val="6E6158"/>
          <w:spacing w:val="40"/>
        </w:rPr>
        <w:t> </w:t>
      </w:r>
      <w:r>
        <w:rPr>
          <w:color w:val="6E6158"/>
        </w:rPr>
        <w:t>agricultural</w:t>
      </w:r>
      <w:r>
        <w:rPr>
          <w:color w:val="6E6158"/>
          <w:spacing w:val="40"/>
        </w:rPr>
        <w:t> </w:t>
      </w:r>
      <w:r>
        <w:rPr>
          <w:color w:val="6E6158"/>
        </w:rPr>
        <w:t>employers,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companies</w:t>
      </w:r>
      <w:r>
        <w:rPr>
          <w:color w:val="6E6158"/>
          <w:spacing w:val="40"/>
        </w:rPr>
        <w:t> </w:t>
      </w:r>
      <w:r>
        <w:rPr>
          <w:color w:val="6E6158"/>
        </w:rPr>
        <w:t>throughout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food</w:t>
      </w:r>
      <w:r>
        <w:rPr>
          <w:color w:val="6E6158"/>
          <w:spacing w:val="40"/>
        </w:rPr>
        <w:t> </w:t>
      </w:r>
      <w:r>
        <w:rPr>
          <w:color w:val="6E6158"/>
        </w:rPr>
        <w:t>supply</w:t>
      </w:r>
      <w:r>
        <w:rPr>
          <w:color w:val="6E6158"/>
          <w:spacing w:val="40"/>
        </w:rPr>
        <w:t> </w:t>
      </w:r>
      <w:r>
        <w:rPr>
          <w:color w:val="6E6158"/>
        </w:rPr>
        <w:t>chain.</w:t>
      </w:r>
    </w:p>
    <w:p>
      <w:pPr>
        <w:spacing w:before="132"/>
        <w:ind w:left="99" w:right="0" w:firstLine="0"/>
        <w:jc w:val="left"/>
        <w:rPr>
          <w:sz w:val="19"/>
        </w:rPr>
      </w:pPr>
      <w:r>
        <w:rPr>
          <w:b/>
          <w:color w:val="6E6158"/>
          <w:sz w:val="19"/>
        </w:rPr>
        <w:t>Biotechnology</w:t>
      </w:r>
      <w:r>
        <w:rPr>
          <w:b/>
          <w:color w:val="6E6158"/>
          <w:spacing w:val="18"/>
          <w:sz w:val="19"/>
        </w:rPr>
        <w:t> </w:t>
      </w:r>
      <w:r>
        <w:rPr>
          <w:b/>
          <w:color w:val="6E6158"/>
          <w:sz w:val="19"/>
        </w:rPr>
        <w:t>and</w:t>
      </w:r>
      <w:r>
        <w:rPr>
          <w:b/>
          <w:color w:val="6E6158"/>
          <w:spacing w:val="18"/>
          <w:sz w:val="19"/>
        </w:rPr>
        <w:t> </w:t>
      </w:r>
      <w:r>
        <w:rPr>
          <w:b/>
          <w:color w:val="6E6158"/>
          <w:sz w:val="19"/>
        </w:rPr>
        <w:t>Life</w:t>
      </w:r>
      <w:r>
        <w:rPr>
          <w:b/>
          <w:color w:val="6E6158"/>
          <w:spacing w:val="19"/>
          <w:sz w:val="19"/>
        </w:rPr>
        <w:t> </w:t>
      </w:r>
      <w:r>
        <w:rPr>
          <w:b/>
          <w:color w:val="6E6158"/>
          <w:sz w:val="19"/>
        </w:rPr>
        <w:t>Sciences:</w:t>
      </w:r>
      <w:r>
        <w:rPr>
          <w:b/>
          <w:color w:val="6E6158"/>
          <w:spacing w:val="17"/>
          <w:sz w:val="19"/>
        </w:rPr>
        <w:t> </w:t>
      </w:r>
      <w:r>
        <w:rPr>
          <w:color w:val="6E6158"/>
          <w:sz w:val="19"/>
        </w:rPr>
        <w:t>Assisting</w:t>
      </w:r>
      <w:r>
        <w:rPr>
          <w:color w:val="6E6158"/>
          <w:spacing w:val="18"/>
          <w:sz w:val="19"/>
        </w:rPr>
        <w:t> </w:t>
      </w:r>
      <w:r>
        <w:rPr>
          <w:color w:val="6E6158"/>
          <w:sz w:val="19"/>
        </w:rPr>
        <w:t>biotechnology</w:t>
      </w:r>
      <w:r>
        <w:rPr>
          <w:color w:val="6E6158"/>
          <w:spacing w:val="19"/>
          <w:sz w:val="19"/>
        </w:rPr>
        <w:t> </w:t>
      </w:r>
      <w:r>
        <w:rPr>
          <w:color w:val="6E6158"/>
          <w:sz w:val="19"/>
        </w:rPr>
        <w:t>companies,</w:t>
      </w:r>
      <w:r>
        <w:rPr>
          <w:color w:val="6E6158"/>
          <w:spacing w:val="18"/>
          <w:sz w:val="19"/>
        </w:rPr>
        <w:t> </w:t>
      </w:r>
      <w:r>
        <w:rPr>
          <w:color w:val="6E6158"/>
          <w:spacing w:val="-2"/>
          <w:sz w:val="19"/>
        </w:rPr>
        <w:t>pharmaceutical</w:t>
      </w:r>
    </w:p>
    <w:p>
      <w:pPr>
        <w:pStyle w:val="BodyText"/>
        <w:spacing w:line="292" w:lineRule="auto" w:before="51"/>
        <w:ind w:right="600"/>
      </w:pPr>
      <w:r>
        <w:rPr>
          <w:color w:val="6E6158"/>
        </w:rPr>
        <w:t>companies, medical device companies, laboratories, research organizations, and life </w:t>
      </w:r>
      <w:r>
        <w:rPr>
          <w:color w:val="6E6158"/>
        </w:rPr>
        <w:t>sciences</w:t>
      </w:r>
      <w:r>
        <w:rPr>
          <w:color w:val="6E6158"/>
          <w:spacing w:val="40"/>
        </w:rPr>
        <w:t> </w:t>
      </w:r>
      <w:r>
        <w:rPr>
          <w:color w:val="6E6158"/>
        </w:rPr>
        <w:t>startups</w:t>
      </w:r>
      <w:r>
        <w:rPr>
          <w:color w:val="6E6158"/>
          <w:spacing w:val="39"/>
        </w:rPr>
        <w:t> </w:t>
      </w:r>
      <w:r>
        <w:rPr>
          <w:color w:val="6E6158"/>
        </w:rPr>
        <w:t>with</w:t>
      </w:r>
      <w:r>
        <w:rPr>
          <w:color w:val="6E6158"/>
          <w:spacing w:val="39"/>
        </w:rPr>
        <w:t> </w:t>
      </w:r>
      <w:r>
        <w:rPr>
          <w:color w:val="6E6158"/>
        </w:rPr>
        <w:t>visa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permanent</w:t>
      </w:r>
      <w:r>
        <w:rPr>
          <w:color w:val="6E6158"/>
          <w:spacing w:val="39"/>
        </w:rPr>
        <w:t> </w:t>
      </w:r>
      <w:r>
        <w:rPr>
          <w:color w:val="6E6158"/>
        </w:rPr>
        <w:t>residence</w:t>
      </w:r>
      <w:r>
        <w:rPr>
          <w:color w:val="6E6158"/>
          <w:spacing w:val="39"/>
        </w:rPr>
        <w:t> </w:t>
      </w:r>
      <w:r>
        <w:rPr>
          <w:color w:val="6E6158"/>
        </w:rPr>
        <w:t>strategies,</w:t>
      </w:r>
      <w:r>
        <w:rPr>
          <w:color w:val="6E6158"/>
          <w:spacing w:val="39"/>
        </w:rPr>
        <w:t> </w:t>
      </w:r>
      <w:r>
        <w:rPr>
          <w:color w:val="6E6158"/>
        </w:rPr>
        <w:t>risk</w:t>
      </w:r>
      <w:r>
        <w:rPr>
          <w:color w:val="6E6158"/>
          <w:spacing w:val="39"/>
        </w:rPr>
        <w:t> </w:t>
      </w:r>
      <w:r>
        <w:rPr>
          <w:color w:val="6E6158"/>
        </w:rPr>
        <w:t>management,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compliance.</w:t>
      </w:r>
    </w:p>
    <w:p>
      <w:pPr>
        <w:pStyle w:val="BodyText"/>
        <w:spacing w:line="297" w:lineRule="auto" w:before="124"/>
        <w:ind w:right="654"/>
      </w:pPr>
      <w:r>
        <w:rPr>
          <w:b/>
          <w:color w:val="6E6158"/>
        </w:rPr>
        <w:t>Construction and Skilled Trades: </w:t>
      </w:r>
      <w:r>
        <w:rPr>
          <w:color w:val="6E6158"/>
        </w:rPr>
        <w:t>Providing counsel for construction companies, contractors,</w:t>
      </w:r>
      <w:r>
        <w:rPr>
          <w:color w:val="6E6158"/>
          <w:spacing w:val="40"/>
        </w:rPr>
        <w:t> </w:t>
      </w:r>
      <w:r>
        <w:rPr>
          <w:color w:val="6E6158"/>
        </w:rPr>
        <w:t>subcontractors, developers, specialty trades, and employers managing project-based </w:t>
      </w:r>
      <w:r>
        <w:rPr>
          <w:color w:val="6E6158"/>
        </w:rPr>
        <w:t>labor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needs.</w:t>
      </w:r>
    </w:p>
    <w:p>
      <w:pPr>
        <w:pStyle w:val="BodyText"/>
        <w:spacing w:line="297" w:lineRule="auto" w:before="118"/>
        <w:ind w:right="770"/>
      </w:pPr>
      <w:r>
        <w:rPr>
          <w:b/>
          <w:color w:val="6E6158"/>
        </w:rPr>
        <w:t>Consulting and Professional Services: </w:t>
      </w:r>
      <w:r>
        <w:rPr>
          <w:color w:val="6E6158"/>
        </w:rPr>
        <w:t>Supporting consulting firms, law firms, accounting </w:t>
      </w:r>
      <w:r>
        <w:rPr>
          <w:color w:val="6E6158"/>
        </w:rPr>
        <w:t>firms,</w:t>
      </w:r>
      <w:r>
        <w:rPr>
          <w:color w:val="6E6158"/>
          <w:spacing w:val="40"/>
        </w:rPr>
        <w:t> </w:t>
      </w:r>
      <w:r>
        <w:rPr>
          <w:color w:val="6E6158"/>
        </w:rPr>
        <w:t>architecture firms, marketing agencies, management companies, and other professional</w:t>
      </w:r>
      <w:r>
        <w:rPr>
          <w:color w:val="6E6158"/>
          <w:spacing w:val="40"/>
        </w:rPr>
        <w:t> </w:t>
      </w:r>
      <w:r>
        <w:rPr>
          <w:color w:val="6E6158"/>
        </w:rPr>
        <w:t>services employers.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7" w:lineRule="auto" w:before="83"/>
        <w:ind w:right="770"/>
      </w:pPr>
      <w:r>
        <w:rPr>
          <w:b/>
          <w:color w:val="6E6158"/>
        </w:rPr>
        <w:t>Energy, Oil and Gas, and Renewables: </w:t>
      </w:r>
      <w:r>
        <w:rPr>
          <w:color w:val="6E6158"/>
        </w:rPr>
        <w:t>Providing support for traditional energy companies, oil</w:t>
      </w:r>
      <w:r>
        <w:rPr>
          <w:color w:val="6E6158"/>
          <w:spacing w:val="40"/>
        </w:rPr>
        <w:t> </w:t>
      </w:r>
      <w:r>
        <w:rPr>
          <w:color w:val="6E6158"/>
        </w:rPr>
        <w:t>and gas operators, renewable energy developers, utilities, EPC contractors, and suppliers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project-based and technical workforce needs.</w:t>
      </w:r>
    </w:p>
    <w:p>
      <w:pPr>
        <w:pStyle w:val="BodyText"/>
        <w:spacing w:line="292" w:lineRule="auto" w:before="118"/>
        <w:ind w:right="1069"/>
      </w:pPr>
      <w:r>
        <w:rPr>
          <w:b/>
          <w:color w:val="6E6158"/>
        </w:rPr>
        <w:t>Engineering and Manufacturing: </w:t>
      </w:r>
      <w:r>
        <w:rPr>
          <w:color w:val="6E6158"/>
        </w:rPr>
        <w:t>Providing guidance to engineering firms, manufacturers,</w:t>
      </w:r>
      <w:r>
        <w:rPr>
          <w:color w:val="6E6158"/>
          <w:spacing w:val="40"/>
        </w:rPr>
        <w:t> </w:t>
      </w:r>
      <w:r>
        <w:rPr>
          <w:color w:val="6E6158"/>
        </w:rPr>
        <w:t>industrial companies, suppliers, automation companies, and employers with technical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production-related workforce needs.</w:t>
      </w:r>
    </w:p>
    <w:p>
      <w:pPr>
        <w:pStyle w:val="BodyText"/>
        <w:spacing w:line="292" w:lineRule="auto" w:before="132"/>
        <w:ind w:right="654"/>
      </w:pPr>
      <w:r>
        <w:rPr>
          <w:b/>
          <w:color w:val="6E6158"/>
        </w:rPr>
        <w:t>Entertainment, Media, and Sports: </w:t>
      </w:r>
      <w:r>
        <w:rPr>
          <w:color w:val="6E6158"/>
        </w:rPr>
        <w:t>Providing guidance on visa strategy and planning, work</w:t>
      </w:r>
      <w:r>
        <w:rPr>
          <w:color w:val="6E6158"/>
          <w:spacing w:val="40"/>
        </w:rPr>
        <w:t> </w:t>
      </w:r>
      <w:r>
        <w:rPr>
          <w:color w:val="6E6158"/>
        </w:rPr>
        <w:t>authorization, and compliance for entertainment companies, production teams, media</w:t>
      </w:r>
      <w:r>
        <w:rPr>
          <w:color w:val="6E6158"/>
          <w:spacing w:val="40"/>
        </w:rPr>
        <w:t> </w:t>
      </w:r>
      <w:r>
        <w:rPr>
          <w:color w:val="6E6158"/>
        </w:rPr>
        <w:t>organizations,</w:t>
      </w:r>
      <w:r>
        <w:rPr>
          <w:color w:val="6E6158"/>
          <w:spacing w:val="26"/>
        </w:rPr>
        <w:t> </w:t>
      </w:r>
      <w:r>
        <w:rPr>
          <w:color w:val="6E6158"/>
        </w:rPr>
        <w:t>athletes,</w:t>
      </w:r>
      <w:r>
        <w:rPr>
          <w:color w:val="6E6158"/>
          <w:spacing w:val="26"/>
        </w:rPr>
        <w:t> </w:t>
      </w:r>
      <w:r>
        <w:rPr>
          <w:color w:val="6E6158"/>
        </w:rPr>
        <w:t>coaches,</w:t>
      </w:r>
      <w:r>
        <w:rPr>
          <w:color w:val="6E6158"/>
          <w:spacing w:val="26"/>
        </w:rPr>
        <w:t> </w:t>
      </w:r>
      <w:r>
        <w:rPr>
          <w:color w:val="6E6158"/>
        </w:rPr>
        <w:t>artists,</w:t>
      </w:r>
      <w:r>
        <w:rPr>
          <w:color w:val="6E6158"/>
          <w:spacing w:val="26"/>
        </w:rPr>
        <w:t> </w:t>
      </w:r>
      <w:r>
        <w:rPr>
          <w:color w:val="6E6158"/>
        </w:rPr>
        <w:t>performers,</w:t>
      </w:r>
      <w:r>
        <w:rPr>
          <w:color w:val="6E6158"/>
          <w:spacing w:val="26"/>
        </w:rPr>
        <w:t> </w:t>
      </w:r>
      <w:r>
        <w:rPr>
          <w:color w:val="6E6158"/>
        </w:rPr>
        <w:t>influencers,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supporting</w:t>
      </w:r>
      <w:r>
        <w:rPr>
          <w:color w:val="6E6158"/>
          <w:spacing w:val="26"/>
        </w:rPr>
        <w:t> </w:t>
      </w:r>
      <w:r>
        <w:rPr>
          <w:color w:val="6E6158"/>
        </w:rPr>
        <w:t>personnel.</w:t>
      </w:r>
    </w:p>
    <w:p>
      <w:pPr>
        <w:pStyle w:val="BodyText"/>
        <w:spacing w:line="302" w:lineRule="auto" w:before="124"/>
        <w:ind w:right="600"/>
      </w:pPr>
      <w:r>
        <w:rPr>
          <w:b/>
          <w:color w:val="6E6158"/>
        </w:rPr>
        <w:t>Finance and Banking: </w:t>
      </w:r>
      <w:r>
        <w:rPr>
          <w:color w:val="6E6158"/>
        </w:rPr>
        <w:t>Assisting banks, financial institutions, investment firms, fintech </w:t>
      </w:r>
      <w:r>
        <w:rPr>
          <w:color w:val="6E6158"/>
        </w:rPr>
        <w:t>companies,</w:t>
      </w:r>
      <w:r>
        <w:rPr>
          <w:color w:val="6E6158"/>
          <w:spacing w:val="40"/>
        </w:rPr>
        <w:t> </w:t>
      </w:r>
      <w:r>
        <w:rPr>
          <w:color w:val="6E6158"/>
        </w:rPr>
        <w:t>accounting</w:t>
      </w:r>
      <w:r>
        <w:rPr>
          <w:color w:val="6E6158"/>
          <w:spacing w:val="40"/>
        </w:rPr>
        <w:t> </w:t>
      </w:r>
      <w:r>
        <w:rPr>
          <w:color w:val="6E6158"/>
        </w:rPr>
        <w:t>firms,</w:t>
      </w:r>
      <w:r>
        <w:rPr>
          <w:color w:val="6E6158"/>
          <w:spacing w:val="40"/>
        </w:rPr>
        <w:t> </w:t>
      </w:r>
      <w:r>
        <w:rPr>
          <w:color w:val="6E6158"/>
        </w:rPr>
        <w:t>wealth</w:t>
      </w:r>
      <w:r>
        <w:rPr>
          <w:color w:val="6E6158"/>
          <w:spacing w:val="40"/>
        </w:rPr>
        <w:t>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companies,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financial</w:t>
      </w:r>
      <w:r>
        <w:rPr>
          <w:color w:val="6E6158"/>
          <w:spacing w:val="40"/>
        </w:rPr>
        <w:t> </w:t>
      </w:r>
      <w:r>
        <w:rPr>
          <w:color w:val="6E6158"/>
        </w:rPr>
        <w:t>services</w:t>
      </w:r>
      <w:r>
        <w:rPr>
          <w:color w:val="6E6158"/>
          <w:spacing w:val="40"/>
        </w:rPr>
        <w:t> </w:t>
      </w:r>
      <w:r>
        <w:rPr>
          <w:color w:val="6E6158"/>
        </w:rPr>
        <w:t>employers.</w:t>
      </w:r>
    </w:p>
    <w:p>
      <w:pPr>
        <w:pStyle w:val="BodyText"/>
        <w:spacing w:line="292" w:lineRule="auto" w:before="113"/>
        <w:ind w:right="654"/>
      </w:pPr>
      <w:r>
        <w:rPr>
          <w:b/>
          <w:color w:val="6E6158"/>
        </w:rPr>
        <w:t>Health Care: </w:t>
      </w:r>
      <w:r>
        <w:rPr>
          <w:color w:val="6E6158"/>
        </w:rPr>
        <w:t>Counseling hospitals, clinics, physician groups, dental practices, long-term care</w:t>
      </w:r>
      <w:r>
        <w:rPr>
          <w:color w:val="6E6158"/>
          <w:spacing w:val="40"/>
        </w:rPr>
        <w:t> </w:t>
      </w:r>
      <w:r>
        <w:rPr>
          <w:color w:val="6E6158"/>
        </w:rPr>
        <w:t>providers, behavioral health providers, and other health care employers recruiting and </w:t>
      </w:r>
      <w:r>
        <w:rPr>
          <w:color w:val="6E6158"/>
        </w:rPr>
        <w:t>retaining</w:t>
      </w:r>
      <w:r>
        <w:rPr>
          <w:color w:val="6E6158"/>
          <w:spacing w:val="40"/>
        </w:rPr>
        <w:t> </w:t>
      </w:r>
      <w:r>
        <w:rPr>
          <w:color w:val="6E6158"/>
        </w:rPr>
        <w:t>foreign national professionals.</w:t>
      </w:r>
    </w:p>
    <w:p>
      <w:pPr>
        <w:pStyle w:val="BodyText"/>
        <w:spacing w:line="292" w:lineRule="auto" w:before="132"/>
        <w:ind w:right="654"/>
      </w:pPr>
      <w:r>
        <w:rPr>
          <w:b/>
          <w:color w:val="6E6158"/>
        </w:rPr>
        <w:t>Hospitality and Tourism: </w:t>
      </w:r>
      <w:r>
        <w:rPr>
          <w:color w:val="6E6158"/>
        </w:rPr>
        <w:t>Serving hotels, resorts, restaurants, event venues, tourism </w:t>
      </w:r>
      <w:r>
        <w:rPr>
          <w:color w:val="6E6158"/>
        </w:rPr>
        <w:t>companies,</w:t>
      </w:r>
      <w:r>
        <w:rPr>
          <w:color w:val="6E6158"/>
          <w:spacing w:val="40"/>
        </w:rPr>
        <w:t> </w:t>
      </w:r>
      <w:r>
        <w:rPr>
          <w:color w:val="6E6158"/>
        </w:rPr>
        <w:t>seasonal employers, and hospitality management groups.</w:t>
      </w:r>
    </w:p>
    <w:p>
      <w:pPr>
        <w:pStyle w:val="BodyText"/>
        <w:spacing w:before="123"/>
      </w:pPr>
      <w:r>
        <w:rPr>
          <w:b/>
          <w:color w:val="6E6158"/>
        </w:rPr>
        <w:t>Mining:</w:t>
      </w:r>
      <w:r>
        <w:rPr>
          <w:b/>
          <w:color w:val="6E6158"/>
          <w:spacing w:val="18"/>
        </w:rPr>
        <w:t> </w:t>
      </w:r>
      <w:r>
        <w:rPr>
          <w:color w:val="6E6158"/>
        </w:rPr>
        <w:t>Serving</w:t>
      </w:r>
      <w:r>
        <w:rPr>
          <w:color w:val="6E6158"/>
          <w:spacing w:val="18"/>
        </w:rPr>
        <w:t> </w:t>
      </w:r>
      <w:r>
        <w:rPr>
          <w:color w:val="6E6158"/>
        </w:rPr>
        <w:t>mining</w:t>
      </w:r>
      <w:r>
        <w:rPr>
          <w:color w:val="6E6158"/>
          <w:spacing w:val="18"/>
        </w:rPr>
        <w:t> </w:t>
      </w:r>
      <w:r>
        <w:rPr>
          <w:color w:val="6E6158"/>
        </w:rPr>
        <w:t>companies,</w:t>
      </w:r>
      <w:r>
        <w:rPr>
          <w:color w:val="6E6158"/>
          <w:spacing w:val="18"/>
        </w:rPr>
        <w:t> </w:t>
      </w:r>
      <w:r>
        <w:rPr>
          <w:color w:val="6E6158"/>
        </w:rPr>
        <w:t>engineering,</w:t>
      </w:r>
      <w:r>
        <w:rPr>
          <w:color w:val="6E6158"/>
          <w:spacing w:val="18"/>
        </w:rPr>
        <w:t> </w:t>
      </w:r>
      <w:r>
        <w:rPr>
          <w:color w:val="6E6158"/>
        </w:rPr>
        <w:t>procurement,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construction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(EPC)</w:t>
      </w:r>
    </w:p>
    <w:p>
      <w:pPr>
        <w:pStyle w:val="BodyText"/>
        <w:spacing w:line="292" w:lineRule="auto" w:before="60"/>
        <w:ind w:right="600"/>
      </w:pPr>
      <w:r>
        <w:rPr>
          <w:color w:val="6E6158"/>
        </w:rPr>
        <w:t>contractors, site operators, multinational parent companies, and their HR, mobility, and legal</w:t>
      </w:r>
      <w:r>
        <w:rPr>
          <w:color w:val="6E6158"/>
          <w:spacing w:val="40"/>
        </w:rPr>
        <w:t> </w:t>
      </w:r>
      <w:r>
        <w:rPr>
          <w:color w:val="6E6158"/>
        </w:rPr>
        <w:t>teams</w:t>
      </w:r>
      <w:r>
        <w:rPr>
          <w:color w:val="6E6158"/>
          <w:spacing w:val="16"/>
        </w:rPr>
        <w:t> </w:t>
      </w:r>
      <w:r>
        <w:rPr>
          <w:color w:val="6E6158"/>
        </w:rPr>
        <w:t>running</w:t>
      </w:r>
      <w:r>
        <w:rPr>
          <w:color w:val="6E6158"/>
          <w:spacing w:val="17"/>
        </w:rPr>
        <w:t> </w:t>
      </w:r>
      <w:r>
        <w:rPr>
          <w:color w:val="6E6158"/>
        </w:rPr>
        <w:t>projects,</w:t>
      </w:r>
      <w:r>
        <w:rPr>
          <w:color w:val="6E6158"/>
          <w:spacing w:val="16"/>
        </w:rPr>
        <w:t> </w:t>
      </w:r>
      <w:r>
        <w:rPr>
          <w:color w:val="6E6158"/>
        </w:rPr>
        <w:t>cross-border</w:t>
      </w:r>
      <w:r>
        <w:rPr>
          <w:color w:val="6E6158"/>
          <w:spacing w:val="17"/>
        </w:rPr>
        <w:t> </w:t>
      </w:r>
      <w:r>
        <w:rPr>
          <w:color w:val="6E6158"/>
        </w:rPr>
        <w:t>crews,</w:t>
      </w:r>
      <w:r>
        <w:rPr>
          <w:color w:val="6E6158"/>
          <w:spacing w:val="16"/>
        </w:rPr>
        <w:t> </w:t>
      </w:r>
      <w:r>
        <w:rPr>
          <w:color w:val="6E6158"/>
        </w:rPr>
        <w:t>seasonal</w:t>
      </w:r>
      <w:r>
        <w:rPr>
          <w:color w:val="6E6158"/>
          <w:spacing w:val="17"/>
        </w:rPr>
        <w:t> </w:t>
      </w:r>
      <w:r>
        <w:rPr>
          <w:color w:val="6E6158"/>
        </w:rPr>
        <w:t>camps,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multi-jurisdictional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operations.</w:t>
      </w:r>
    </w:p>
    <w:p>
      <w:pPr>
        <w:spacing w:line="292" w:lineRule="auto" w:before="124"/>
        <w:ind w:left="99" w:right="654" w:firstLine="0"/>
        <w:jc w:val="left"/>
        <w:rPr>
          <w:sz w:val="19"/>
        </w:rPr>
      </w:pPr>
      <w:r>
        <w:rPr>
          <w:b/>
          <w:color w:val="6E6158"/>
          <w:sz w:val="19"/>
        </w:rPr>
        <w:t>Nonprofits and Religious Organizations: </w:t>
      </w:r>
      <w:r>
        <w:rPr>
          <w:color w:val="6E6158"/>
          <w:sz w:val="19"/>
        </w:rPr>
        <w:t>Supporting nonprofits, churches, religious </w:t>
      </w:r>
      <w:r>
        <w:rPr>
          <w:color w:val="6E6158"/>
          <w:sz w:val="19"/>
        </w:rPr>
        <w:t>organizations,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ministries, charities, schools, and mission-driven institutions.</w:t>
      </w:r>
    </w:p>
    <w:p>
      <w:pPr>
        <w:spacing w:before="131"/>
        <w:ind w:left="99" w:right="0" w:firstLine="0"/>
        <w:jc w:val="left"/>
        <w:rPr>
          <w:sz w:val="19"/>
        </w:rPr>
      </w:pPr>
      <w:r>
        <w:rPr>
          <w:b/>
          <w:color w:val="6E6158"/>
          <w:sz w:val="19"/>
        </w:rPr>
        <w:t>Retail</w:t>
      </w:r>
      <w:r>
        <w:rPr>
          <w:b/>
          <w:color w:val="6E6158"/>
          <w:spacing w:val="18"/>
          <w:sz w:val="19"/>
        </w:rPr>
        <w:t> </w:t>
      </w:r>
      <w:r>
        <w:rPr>
          <w:b/>
          <w:color w:val="6E6158"/>
          <w:sz w:val="19"/>
        </w:rPr>
        <w:t>and</w:t>
      </w:r>
      <w:r>
        <w:rPr>
          <w:b/>
          <w:color w:val="6E6158"/>
          <w:spacing w:val="19"/>
          <w:sz w:val="19"/>
        </w:rPr>
        <w:t> </w:t>
      </w:r>
      <w:r>
        <w:rPr>
          <w:b/>
          <w:color w:val="6E6158"/>
          <w:sz w:val="19"/>
        </w:rPr>
        <w:t>E-Commerce:</w:t>
      </w:r>
      <w:r>
        <w:rPr>
          <w:b/>
          <w:color w:val="6E6158"/>
          <w:spacing w:val="18"/>
          <w:sz w:val="19"/>
        </w:rPr>
        <w:t> </w:t>
      </w:r>
      <w:r>
        <w:rPr>
          <w:color w:val="6E6158"/>
          <w:sz w:val="19"/>
        </w:rPr>
        <w:t>Counseling</w:t>
      </w:r>
      <w:r>
        <w:rPr>
          <w:color w:val="6E6158"/>
          <w:spacing w:val="19"/>
          <w:sz w:val="19"/>
        </w:rPr>
        <w:t> </w:t>
      </w:r>
      <w:r>
        <w:rPr>
          <w:color w:val="6E6158"/>
          <w:sz w:val="19"/>
        </w:rPr>
        <w:t>retailers,</w:t>
      </w:r>
      <w:r>
        <w:rPr>
          <w:color w:val="6E6158"/>
          <w:spacing w:val="18"/>
          <w:sz w:val="19"/>
        </w:rPr>
        <w:t> </w:t>
      </w:r>
      <w:r>
        <w:rPr>
          <w:color w:val="6E6158"/>
          <w:sz w:val="19"/>
        </w:rPr>
        <w:t>e-commerce</w:t>
      </w:r>
      <w:r>
        <w:rPr>
          <w:color w:val="6E6158"/>
          <w:spacing w:val="19"/>
          <w:sz w:val="19"/>
        </w:rPr>
        <w:t> </w:t>
      </w:r>
      <w:r>
        <w:rPr>
          <w:color w:val="6E6158"/>
          <w:sz w:val="19"/>
        </w:rPr>
        <w:t>companies,</w:t>
      </w:r>
      <w:r>
        <w:rPr>
          <w:color w:val="6E6158"/>
          <w:spacing w:val="18"/>
          <w:sz w:val="19"/>
        </w:rPr>
        <w:t> </w:t>
      </w:r>
      <w:r>
        <w:rPr>
          <w:color w:val="6E6158"/>
          <w:sz w:val="19"/>
        </w:rPr>
        <w:t>consumer</w:t>
      </w:r>
      <w:r>
        <w:rPr>
          <w:color w:val="6E6158"/>
          <w:spacing w:val="19"/>
          <w:sz w:val="19"/>
        </w:rPr>
        <w:t> </w:t>
      </w:r>
      <w:r>
        <w:rPr>
          <w:color w:val="6E6158"/>
          <w:spacing w:val="-2"/>
          <w:sz w:val="19"/>
        </w:rPr>
        <w:t>product</w:t>
      </w:r>
    </w:p>
    <w:p>
      <w:pPr>
        <w:pStyle w:val="BodyText"/>
        <w:spacing w:line="292" w:lineRule="auto" w:before="52"/>
        <w:ind w:right="654"/>
      </w:pPr>
      <w:r>
        <w:rPr>
          <w:color w:val="6E6158"/>
        </w:rPr>
        <w:t>companies, distribution businesses, franchisors, and foreign-owned brands expanding into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United States.</w:t>
      </w:r>
    </w:p>
    <w:p>
      <w:pPr>
        <w:pStyle w:val="BodyText"/>
        <w:spacing w:line="297" w:lineRule="auto" w:before="123"/>
        <w:ind w:right="654"/>
      </w:pPr>
      <w:r>
        <w:rPr>
          <w:b/>
          <w:color w:val="6E6158"/>
        </w:rPr>
        <w:t>Technology and Software: </w:t>
      </w:r>
      <w:r>
        <w:rPr>
          <w:color w:val="6E6158"/>
        </w:rPr>
        <w:t>Serving software companies, technology startups, SaaS businesses, </w:t>
      </w:r>
      <w:r>
        <w:rPr>
          <w:color w:val="6E6158"/>
        </w:rPr>
        <w:t>IT</w:t>
      </w:r>
      <w:r>
        <w:rPr>
          <w:color w:val="6E6158"/>
          <w:spacing w:val="40"/>
        </w:rPr>
        <w:t> </w:t>
      </w:r>
      <w:r>
        <w:rPr>
          <w:color w:val="6E6158"/>
        </w:rPr>
        <w:t>service providers, cybersecurity companies, AI-focused companies, and technical employers</w:t>
      </w:r>
      <w:r>
        <w:rPr>
          <w:color w:val="6E6158"/>
          <w:spacing w:val="40"/>
        </w:rPr>
        <w:t> </w:t>
      </w:r>
      <w:r>
        <w:rPr>
          <w:color w:val="6E6158"/>
        </w:rPr>
        <w:t>competing for global talent.</w:t>
      </w:r>
    </w:p>
    <w:p>
      <w:pPr>
        <w:pStyle w:val="BodyText"/>
        <w:spacing w:line="292" w:lineRule="auto" w:before="118"/>
      </w:pPr>
      <w:r>
        <w:rPr>
          <w:b/>
          <w:color w:val="6E6158"/>
        </w:rPr>
        <w:t>Transportation and Logistics: </w:t>
      </w:r>
      <w:r>
        <w:rPr>
          <w:color w:val="6E6158"/>
        </w:rPr>
        <w:t>Providing guidance to transportation companies, logistics </w:t>
      </w:r>
      <w:r>
        <w:rPr>
          <w:color w:val="6E6158"/>
        </w:rPr>
        <w:t>providers,</w:t>
      </w:r>
      <w:r>
        <w:rPr>
          <w:color w:val="6E6158"/>
          <w:spacing w:val="40"/>
        </w:rPr>
        <w:t> </w:t>
      </w:r>
      <w:r>
        <w:rPr>
          <w:color w:val="6E6158"/>
        </w:rPr>
        <w:t>warehousing</w:t>
      </w:r>
      <w:r>
        <w:rPr>
          <w:color w:val="6E6158"/>
          <w:spacing w:val="17"/>
        </w:rPr>
        <w:t> </w:t>
      </w:r>
      <w:r>
        <w:rPr>
          <w:color w:val="6E6158"/>
        </w:rPr>
        <w:t>operations,</w:t>
      </w:r>
      <w:r>
        <w:rPr>
          <w:color w:val="6E6158"/>
          <w:spacing w:val="17"/>
        </w:rPr>
        <w:t> </w:t>
      </w:r>
      <w:r>
        <w:rPr>
          <w:color w:val="6E6158"/>
        </w:rPr>
        <w:t>freight</w:t>
      </w:r>
      <w:r>
        <w:rPr>
          <w:color w:val="6E6158"/>
          <w:spacing w:val="17"/>
        </w:rPr>
        <w:t> </w:t>
      </w:r>
      <w:r>
        <w:rPr>
          <w:color w:val="6E6158"/>
        </w:rPr>
        <w:t>companies,</w:t>
      </w:r>
      <w:r>
        <w:rPr>
          <w:color w:val="6E6158"/>
          <w:spacing w:val="17"/>
        </w:rPr>
        <w:t> </w:t>
      </w:r>
      <w:r>
        <w:rPr>
          <w:color w:val="6E6158"/>
        </w:rPr>
        <w:t>supply</w:t>
      </w:r>
      <w:r>
        <w:rPr>
          <w:color w:val="6E6158"/>
          <w:spacing w:val="17"/>
        </w:rPr>
        <w:t> </w:t>
      </w:r>
      <w:r>
        <w:rPr>
          <w:color w:val="6E6158"/>
        </w:rPr>
        <w:t>chain</w:t>
      </w:r>
      <w:r>
        <w:rPr>
          <w:color w:val="6E6158"/>
          <w:spacing w:val="17"/>
        </w:rPr>
        <w:t> </w:t>
      </w:r>
      <w:r>
        <w:rPr>
          <w:color w:val="6E6158"/>
        </w:rPr>
        <w:t>businesses,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distribution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employers.</w:t>
      </w:r>
    </w:p>
    <w:p>
      <w:pPr>
        <w:spacing w:line="292" w:lineRule="auto" w:before="132"/>
        <w:ind w:left="99" w:right="654" w:firstLine="0"/>
        <w:jc w:val="left"/>
        <w:rPr>
          <w:sz w:val="19"/>
        </w:rPr>
      </w:pPr>
      <w:r>
        <w:rPr>
          <w:b/>
          <w:color w:val="6E6158"/>
          <w:sz w:val="19"/>
        </w:rPr>
        <w:t>Universities and Research Institutions: </w:t>
      </w:r>
      <w:r>
        <w:rPr>
          <w:color w:val="6E6158"/>
          <w:sz w:val="19"/>
        </w:rPr>
        <w:t>Supporting universities, colleges, laboratories, research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centers, academic departments, faculty members, researchers, scholars, and institutional </w:t>
      </w:r>
      <w:r>
        <w:rPr>
          <w:color w:val="6E6158"/>
          <w:sz w:val="19"/>
        </w:rPr>
        <w:t>HR</w:t>
      </w:r>
      <w:r>
        <w:rPr>
          <w:color w:val="6E6158"/>
          <w:spacing w:val="40"/>
          <w:sz w:val="19"/>
        </w:rPr>
        <w:t> </w:t>
      </w:r>
      <w:r>
        <w:rPr>
          <w:color w:val="6E6158"/>
          <w:spacing w:val="-2"/>
          <w:sz w:val="19"/>
        </w:rPr>
        <w:t>teams.</w:t>
      </w:r>
    </w:p>
    <w:p>
      <w:pPr>
        <w:pStyle w:val="BodyText"/>
        <w:spacing w:before="21"/>
        <w:ind w:left="0"/>
      </w:pPr>
    </w:p>
    <w:p>
      <w:pPr>
        <w:pStyle w:val="BodyText"/>
        <w:spacing w:line="292" w:lineRule="auto"/>
        <w:ind w:right="498"/>
      </w:pPr>
      <w:r>
        <w:rPr>
          <w:color w:val="6E6158"/>
        </w:rPr>
        <w:t>Alycia earned her law degree from the University of Idaho College of Law, where she was vice</w:t>
      </w:r>
      <w:r>
        <w:rPr>
          <w:color w:val="6E6158"/>
          <w:spacing w:val="40"/>
        </w:rPr>
        <w:t> </w:t>
      </w:r>
      <w:r>
        <w:rPr>
          <w:color w:val="6E6158"/>
        </w:rPr>
        <w:t>president of the student government, a law clerk for the U.S. State Department’s Ambassador for</w:t>
      </w:r>
      <w:r>
        <w:rPr>
          <w:color w:val="6E6158"/>
          <w:spacing w:val="40"/>
        </w:rPr>
        <w:t> </w:t>
      </w:r>
      <w:r>
        <w:rPr>
          <w:color w:val="6E6158"/>
        </w:rPr>
        <w:t>War Crimes Issues, and a published author in the </w:t>
      </w:r>
      <w:r>
        <w:rPr>
          <w:i/>
          <w:color w:val="6E6158"/>
          <w:sz w:val="20"/>
        </w:rPr>
        <w:t>Michigan State International Law Review</w:t>
      </w:r>
      <w:r>
        <w:rPr>
          <w:color w:val="6E6158"/>
        </w:rPr>
        <w:t>. She graduated magna cum laude from the University of Colorado at Denver with a degree in history,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also</w:t>
      </w:r>
      <w:r>
        <w:rPr>
          <w:color w:val="6E6158"/>
          <w:spacing w:val="24"/>
        </w:rPr>
        <w:t> </w:t>
      </w:r>
      <w:r>
        <w:rPr>
          <w:color w:val="6E6158"/>
        </w:rPr>
        <w:t>studied</w:t>
      </w:r>
      <w:r>
        <w:rPr>
          <w:color w:val="6E6158"/>
          <w:spacing w:val="24"/>
        </w:rPr>
        <w:t> </w:t>
      </w:r>
      <w:r>
        <w:rPr>
          <w:color w:val="6E6158"/>
        </w:rPr>
        <w:t>abroad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St.</w:t>
      </w:r>
      <w:r>
        <w:rPr>
          <w:color w:val="6E6158"/>
          <w:spacing w:val="24"/>
        </w:rPr>
        <w:t> </w:t>
      </w:r>
      <w:r>
        <w:rPr>
          <w:color w:val="6E6158"/>
        </w:rPr>
        <w:t>Petersburg</w:t>
      </w:r>
      <w:r>
        <w:rPr>
          <w:color w:val="6E6158"/>
          <w:spacing w:val="24"/>
        </w:rPr>
        <w:t> </w:t>
      </w:r>
      <w:r>
        <w:rPr>
          <w:color w:val="6E6158"/>
        </w:rPr>
        <w:t>State</w:t>
      </w:r>
      <w:r>
        <w:rPr>
          <w:color w:val="6E6158"/>
          <w:spacing w:val="24"/>
        </w:rPr>
        <w:t> </w:t>
      </w:r>
      <w:r>
        <w:rPr>
          <w:color w:val="6E6158"/>
        </w:rPr>
        <w:t>University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Russia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Skope</w:t>
      </w:r>
      <w:r>
        <w:rPr>
          <w:color w:val="6E6158"/>
          <w:spacing w:val="24"/>
        </w:rPr>
        <w:t> </w:t>
      </w:r>
      <w:r>
        <w:rPr>
          <w:color w:val="6E6158"/>
        </w:rPr>
        <w:t>Law</w:t>
      </w:r>
      <w:r>
        <w:rPr>
          <w:color w:val="6E6158"/>
          <w:spacing w:val="24"/>
        </w:rPr>
        <w:t> </w:t>
      </w:r>
      <w:r>
        <w:rPr>
          <w:color w:val="6E6158"/>
        </w:rPr>
        <w:t>School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Macedonia.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729"/>
      </w:pPr>
      <w:r>
        <w:rPr>
          <w:color w:val="6E6158"/>
        </w:rPr>
        <w:t>A dedicated member of the legal and business communities, Alycia has held leadership roles</w:t>
      </w:r>
      <w:r>
        <w:rPr>
          <w:color w:val="6E6158"/>
          <w:spacing w:val="40"/>
        </w:rPr>
        <w:t> </w:t>
      </w:r>
      <w:r>
        <w:rPr>
          <w:color w:val="6E6158"/>
        </w:rPr>
        <w:t>with the American Immigration Lawyers Association (AILA), including serving as Chair of the</w:t>
      </w:r>
      <w:r>
        <w:rPr>
          <w:color w:val="6E6158"/>
          <w:spacing w:val="40"/>
        </w:rPr>
        <w:t> </w:t>
      </w:r>
      <w:r>
        <w:rPr>
          <w:color w:val="6E6158"/>
        </w:rPr>
        <w:t>Eastern Washington Committee, Chair of the Idaho Chapter, Chair of the Idaho </w:t>
      </w:r>
      <w:r>
        <w:rPr>
          <w:color w:val="6E6158"/>
        </w:rPr>
        <w:t>Congressional Liaison Committee, and as a member of the AILA Board of Governors. She is also active in</w:t>
      </w:r>
      <w:r>
        <w:rPr>
          <w:color w:val="6E6158"/>
          <w:spacing w:val="40"/>
        </w:rPr>
        <w:t> </w:t>
      </w:r>
      <w:r>
        <w:rPr>
          <w:color w:val="6E6158"/>
        </w:rPr>
        <w:t>numerous bar associations and civic organizations.</w:t>
      </w:r>
    </w:p>
    <w:p>
      <w:pPr>
        <w:pStyle w:val="BodyText"/>
        <w:spacing w:after="0" w:line="295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54"/>
      </w:pPr>
      <w:r>
        <w:rPr>
          <w:color w:val="6E6158"/>
        </w:rPr>
        <w:t>Beyond the office, Alycia enjoys the outdoors and spending time with her daughters. If she were</w:t>
      </w:r>
      <w:r>
        <w:rPr>
          <w:color w:val="6E6158"/>
          <w:spacing w:val="40"/>
        </w:rPr>
        <w:t> </w:t>
      </w:r>
      <w:r>
        <w:rPr>
          <w:color w:val="6E6158"/>
        </w:rPr>
        <w:t>not practicing law, she would happily be leading trips as a backpacking guide.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08" w:lineRule="auto" w:before="149"/>
        <w:ind w:right="2446" w:firstLine="244"/>
        <w:rPr>
          <w:i/>
          <w:sz w:val="20"/>
        </w:rPr>
      </w:pPr>
      <w:r>
        <w:rPr>
          <w:color w:val="6E6158"/>
        </w:rPr>
        <w:t>NW Institute for Dispute Resolution, Criminal &amp; Civil Meditation </w:t>
      </w:r>
      <w:r>
        <w:rPr>
          <w:color w:val="6E6158"/>
        </w:rPr>
        <w:t>Programs B.A., University of Colorado, </w:t>
      </w:r>
      <w:r>
        <w:rPr>
          <w:i/>
          <w:color w:val="6E6158"/>
          <w:sz w:val="20"/>
        </w:rPr>
        <w:t>magna cum laude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7680"/>
      </w:pPr>
      <w:r>
        <w:rPr>
          <w:color w:val="6E6158"/>
          <w:spacing w:val="-2"/>
        </w:rPr>
        <w:t>Immigration </w:t>
      </w:r>
      <w:r>
        <w:rPr>
          <w:color w:val="6E6158"/>
        </w:rPr>
        <w:t>Cannabis </w:t>
      </w:r>
      <w:r>
        <w:rPr>
          <w:color w:val="6E6158"/>
        </w:rPr>
        <w:t>Business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4491"/>
      </w:pPr>
      <w:r>
        <w:rPr>
          <w:color w:val="6E6158"/>
        </w:rPr>
        <w:t>Tribute to Women and Industry (TWIN) Award, </w:t>
      </w:r>
      <w:r>
        <w:rPr>
          <w:color w:val="6E6158"/>
        </w:rPr>
        <w:t>2025 Denise O’Donnell Day Pro Bono Award, 2017</w:t>
      </w:r>
    </w:p>
    <w:p>
      <w:pPr>
        <w:pStyle w:val="BodyText"/>
        <w:spacing w:before="7"/>
      </w:pPr>
      <w:r>
        <w:rPr>
          <w:color w:val="6E6158"/>
        </w:rPr>
        <w:t>Spirit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Class</w:t>
      </w:r>
      <w:r>
        <w:rPr>
          <w:color w:val="6E6158"/>
          <w:spacing w:val="9"/>
        </w:rPr>
        <w:t> </w:t>
      </w:r>
      <w:r>
        <w:rPr>
          <w:color w:val="6E6158"/>
        </w:rPr>
        <w:t>Award,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Idaho</w:t>
      </w:r>
      <w:r>
        <w:rPr>
          <w:color w:val="6E6158"/>
          <w:spacing w:val="9"/>
        </w:rPr>
        <w:t> </w:t>
      </w:r>
      <w:r>
        <w:rPr>
          <w:color w:val="6E6158"/>
        </w:rPr>
        <w:t>College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2005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654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DHS Finalizes End of “Duration of Status” for F, J, and I Visa Categories</w:t>
        </w:r>
      </w:hyperlink>
      <w:r>
        <w:rPr>
          <w:color w:val="6E6158"/>
        </w:rPr>
        <w:t>,” Fennemore Blog, July 24, 2026</w:t>
      </w:r>
    </w:p>
    <w:p>
      <w:pPr>
        <w:pStyle w:val="BodyText"/>
        <w:spacing w:line="292" w:lineRule="auto" w:before="131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Proposed EB-5 Changes: What Investors and Regional Centers Should Know </w:t>
        </w:r>
        <w:r>
          <w:rPr>
            <w:color w:val="F5821F"/>
          </w:rPr>
          <w:t>Now</w:t>
        </w:r>
      </w:hyperlink>
      <w:r>
        <w:rPr>
          <w:color w:val="6E6158"/>
        </w:rPr>
        <w:t>,” Fennemore Blog, July 9, 2026</w:t>
      </w:r>
    </w:p>
    <w:p>
      <w:pPr>
        <w:pStyle w:val="BodyText"/>
        <w:spacing w:line="292" w:lineRule="auto" w:before="123"/>
        <w:ind w:right="600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Supreme Court Immigration Update: Border Asylum Access, TPS for Haiti and Syria,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and Employer Next Steps</w:t>
        </w:r>
      </w:hyperlink>
      <w:r>
        <w:rPr>
          <w:color w:val="6E6158"/>
        </w:rPr>
        <w:t>,” Fennemore Blog, July 2, 2026</w:t>
      </w:r>
    </w:p>
    <w:p>
      <w:pPr>
        <w:pStyle w:val="BodyText"/>
        <w:spacing w:line="292" w:lineRule="auto" w:before="132"/>
        <w:ind w:right="654"/>
      </w:pPr>
      <w:r>
        <w:rPr>
          <w:color w:val="6E6158"/>
        </w:rPr>
        <w:t>Co-Author, “</w:t>
      </w:r>
      <w:r>
        <w:rPr>
          <w:color w:val="F5821F"/>
        </w:rPr>
        <w:t>What should HR do when immigration enforcement knocks on the door?</w:t>
      </w:r>
      <w:r>
        <w:rPr>
          <w:color w:val="6E6158"/>
        </w:rPr>
        <w:t>,” AZ Big Media, July 1, 2026</w:t>
      </w:r>
    </w:p>
    <w:p>
      <w:pPr>
        <w:pStyle w:val="BodyText"/>
        <w:spacing w:line="292" w:lineRule="auto" w:before="123"/>
        <w:ind w:right="654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DHS Clarifies Green Card Processing: Adjustment of Status Remains Available, but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Discretion Matters</w:t>
        </w:r>
      </w:hyperlink>
      <w:r>
        <w:rPr>
          <w:color w:val="6E6158"/>
        </w:rPr>
        <w:t>,” Fennemore Blog, June 30, 2026</w:t>
      </w:r>
    </w:p>
    <w:p>
      <w:pPr>
        <w:pStyle w:val="BodyText"/>
        <w:spacing w:line="292" w:lineRule="auto" w:before="131"/>
      </w:pPr>
      <w:r>
        <w:rPr>
          <w:color w:val="6E6158"/>
        </w:rPr>
        <w:t>Co-Presenter, “Building a Stronger Workforce: Employment and Immigration Insights for </w:t>
      </w:r>
      <w:r>
        <w:rPr>
          <w:color w:val="6E6158"/>
        </w:rPr>
        <w:t>Colorado Employers,” Fennemore Colorado Webinar Series, June 25, 2026</w:t>
      </w:r>
    </w:p>
    <w:p>
      <w:pPr>
        <w:pStyle w:val="BodyText"/>
        <w:spacing w:line="292" w:lineRule="auto" w:before="124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Immigration Site Visits: What Your Team Needs to Know</w:t>
        </w:r>
      </w:hyperlink>
      <w:r>
        <w:rPr>
          <w:color w:val="6E6158"/>
        </w:rPr>
        <w:t>,” Greater Phoenix inBusiness Magazine, June 12, 2026</w:t>
      </w:r>
    </w:p>
    <w:p>
      <w:pPr>
        <w:pStyle w:val="BodyText"/>
        <w:spacing w:line="292" w:lineRule="auto" w:before="131"/>
        <w:ind w:right="654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U.S. Site Visits and Employer Compliance Readiness: What to Tighten Now</w:t>
        </w:r>
      </w:hyperlink>
      <w:r>
        <w:rPr>
          <w:color w:val="6E6158"/>
        </w:rPr>
        <w:t>,” Fennemore Blog, June 9, 2026</w:t>
      </w:r>
    </w:p>
    <w:p>
      <w:pPr>
        <w:pStyle w:val="BodyText"/>
        <w:spacing w:line="302" w:lineRule="auto" w:before="123"/>
        <w:ind w:right="654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Site Visit Readiness Checklist: What HR, Managers, and Front Desk Should Do</w:t>
        </w:r>
      </w:hyperlink>
      <w:r>
        <w:rPr>
          <w:color w:val="6E6158"/>
        </w:rPr>
        <w:t>,” Fennemore Blog, June 9, 2026</w:t>
      </w:r>
    </w:p>
    <w:p>
      <w:pPr>
        <w:pStyle w:val="BodyText"/>
        <w:spacing w:line="292" w:lineRule="auto" w:before="113"/>
        <w:ind w:right="654"/>
      </w:pPr>
      <w:r>
        <w:rPr>
          <w:color w:val="6E6158"/>
        </w:rPr>
        <w:t>Co-Author, “</w:t>
      </w:r>
      <w:hyperlink r:id="rId18">
        <w:r>
          <w:rPr>
            <w:color w:val="F5821F"/>
          </w:rPr>
          <w:t>Immigration Onboarding Checklist for HR: The First 10 Minutes with a New Foreign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National Hire</w:t>
        </w:r>
      </w:hyperlink>
      <w:r>
        <w:rPr>
          <w:color w:val="6E6158"/>
        </w:rPr>
        <w:t>,” Fennemore Blog, June 9, 2026</w:t>
      </w:r>
    </w:p>
    <w:p>
      <w:pPr>
        <w:pStyle w:val="BodyText"/>
        <w:spacing w:line="302" w:lineRule="auto" w:before="123"/>
        <w:ind w:right="654"/>
      </w:pPr>
      <w:r>
        <w:rPr>
          <w:color w:val="6E6158"/>
        </w:rPr>
        <w:t>Co-Author, “</w:t>
      </w:r>
      <w:hyperlink r:id="rId19">
        <w:r>
          <w:rPr>
            <w:color w:val="F5821F"/>
          </w:rPr>
          <w:t>From Access to Advancement: Mentorship and Sponsorship for Women Lawyers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9">
        <w:r>
          <w:rPr>
            <w:color w:val="F5821F"/>
          </w:rPr>
          <w:t>Idaho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Lindsey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Morgan,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Kathleen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Carr,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Alycia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Moss,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Catherine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Renshaw,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Katie</w:t>
        </w:r>
      </w:hyperlink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hyperlink r:id="rId19">
        <w:r>
          <w:rPr>
            <w:color w:val="F5821F"/>
          </w:rPr>
          <w:t>Sheftic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654"/>
      </w:pPr>
      <w:r>
        <w:rPr>
          <w:color w:val="6E6158"/>
        </w:rPr>
        <w:t>Co-Author, “</w:t>
      </w:r>
      <w:hyperlink r:id="rId20">
        <w:r>
          <w:rPr>
            <w:color w:val="F5821F"/>
          </w:rPr>
          <w:t>Client Alert: Federal Court Vacates $100K H-1B Payment Requirement</w:t>
        </w:r>
      </w:hyperlink>
      <w:r>
        <w:rPr>
          <w:color w:val="6E6158"/>
        </w:rPr>
        <w:t>,” </w:t>
      </w:r>
      <w:r>
        <w:rPr>
          <w:color w:val="6E6158"/>
        </w:rPr>
        <w:t>Fennemore Blog, June 8, 2026</w:t>
      </w:r>
    </w:p>
    <w:p>
      <w:pPr>
        <w:pStyle w:val="BodyText"/>
        <w:spacing w:line="292" w:lineRule="auto" w:before="113"/>
        <w:ind w:right="654"/>
      </w:pPr>
      <w:r>
        <w:rPr>
          <w:color w:val="6E6158"/>
        </w:rPr>
        <w:t>Author, “</w:t>
      </w:r>
      <w:hyperlink r:id="rId21">
        <w:r>
          <w:rPr>
            <w:color w:val="F5821F"/>
          </w:rPr>
          <w:t>Client Alert: USCIS Policy Change May Require Immediate Reassessment of </w:t>
        </w:r>
        <w:r>
          <w:rPr>
            <w:color w:val="F5821F"/>
          </w:rPr>
          <w:t>Adjustment</w:t>
        </w:r>
      </w:hyperlink>
      <w:r>
        <w:rPr>
          <w:color w:val="F5821F"/>
          <w:spacing w:val="40"/>
        </w:rPr>
        <w:t> </w:t>
      </w:r>
      <w:hyperlink r:id="rId21">
        <w:r>
          <w:rPr>
            <w:color w:val="F5821F"/>
          </w:rPr>
          <w:t>of Status Strategy</w:t>
        </w:r>
      </w:hyperlink>
      <w:r>
        <w:rPr>
          <w:color w:val="6E6158"/>
        </w:rPr>
        <w:t>,” Fennemore Blog, May 27, 2026</w:t>
      </w:r>
    </w:p>
    <w:p>
      <w:pPr>
        <w:pStyle w:val="BodyText"/>
        <w:spacing w:line="302" w:lineRule="auto" w:before="123"/>
        <w:ind w:right="654"/>
      </w:pPr>
      <w:r>
        <w:rPr>
          <w:color w:val="6E6158"/>
        </w:rPr>
        <w:t>Co-Author, “</w:t>
      </w:r>
      <w:hyperlink r:id="rId22">
        <w:r>
          <w:rPr>
            <w:color w:val="F5821F"/>
          </w:rPr>
          <w:t>“Show Me Your Papers” — Do You Have to Carry Immigration Documents?</w:t>
        </w:r>
      </w:hyperlink>
      <w:r>
        <w:rPr>
          <w:color w:val="6E6158"/>
        </w:rPr>
        <w:t>,” Fennemore Blog, May 27, 2026</w:t>
      </w:r>
    </w:p>
    <w:p>
      <w:pPr>
        <w:pStyle w:val="BodyText"/>
        <w:spacing w:line="292" w:lineRule="auto" w:before="113"/>
        <w:ind w:right="654"/>
      </w:pPr>
      <w:r>
        <w:rPr>
          <w:color w:val="6E6158"/>
        </w:rPr>
        <w:t>Co-Author, “</w:t>
      </w:r>
      <w:hyperlink r:id="rId23">
        <w:r>
          <w:rPr>
            <w:color w:val="F5821F"/>
          </w:rPr>
          <w:t>Fennemore’s Industry Analysis of the Rescheduling of Medical </w:t>
        </w:r>
        <w:r>
          <w:rPr>
            <w:color w:val="F5821F"/>
          </w:rPr>
          <w:t>Marijuana</w:t>
        </w:r>
      </w:hyperlink>
      <w:r>
        <w:rPr>
          <w:color w:val="6E6158"/>
        </w:rPr>
        <w:t>,” Fennemore Blog, May 21, 2026</w:t>
      </w:r>
    </w:p>
    <w:p>
      <w:pPr>
        <w:pStyle w:val="BodyText"/>
        <w:spacing w:line="302" w:lineRule="auto" w:before="123"/>
        <w:ind w:right="654"/>
      </w:pPr>
      <w:r>
        <w:rPr>
          <w:color w:val="6E6158"/>
        </w:rPr>
        <w:t>Co-Author, “</w:t>
      </w:r>
      <w:hyperlink r:id="rId24">
        <w:r>
          <w:rPr>
            <w:color w:val="F5821F"/>
          </w:rPr>
          <w:t>New Rules for H1-B Visas – Employers Take Note</w:t>
        </w:r>
      </w:hyperlink>
      <w:r>
        <w:rPr>
          <w:color w:val="6E6158"/>
        </w:rPr>
        <w:t>,” Greater Phoenix InBusiness Magazine, March 2026</w:t>
      </w:r>
    </w:p>
    <w:p>
      <w:pPr>
        <w:pStyle w:val="BodyText"/>
        <w:spacing w:line="292" w:lineRule="auto" w:before="113"/>
        <w:ind w:right="654"/>
      </w:pPr>
      <w:r>
        <w:rPr>
          <w:color w:val="6E6158"/>
        </w:rPr>
        <w:t>Co-Author, “</w:t>
      </w:r>
      <w:hyperlink r:id="rId25">
        <w:r>
          <w:rPr>
            <w:color w:val="F5821F"/>
          </w:rPr>
          <w:t>Fiscal Year 2027 H-1B Cap Lottery: What Employers Should Know (Quick Guide)</w:t>
        </w:r>
      </w:hyperlink>
      <w:r>
        <w:rPr>
          <w:color w:val="6E6158"/>
        </w:rPr>
        <w:t>,” Fennemore Blog, February 26, 2026</w:t>
      </w:r>
    </w:p>
    <w:p>
      <w:pPr>
        <w:pStyle w:val="BodyText"/>
        <w:spacing w:line="302" w:lineRule="auto" w:before="123"/>
        <w:ind w:right="770"/>
      </w:pPr>
      <w:r>
        <w:rPr>
          <w:color w:val="6E6158"/>
        </w:rPr>
        <w:t>Co-Author, “</w:t>
      </w:r>
      <w:hyperlink r:id="rId26">
        <w:r>
          <w:rPr>
            <w:color w:val="F5821F"/>
          </w:rPr>
          <w:t>Mukherji v. Miller Raises New Questions About the Kazarian-Based EB-1A </w:t>
        </w:r>
        <w:r>
          <w:rPr>
            <w:color w:val="F5821F"/>
          </w:rPr>
          <w:t>“Final</w:t>
        </w:r>
      </w:hyperlink>
      <w:r>
        <w:rPr>
          <w:color w:val="F5821F"/>
        </w:rPr>
        <w:t> </w:t>
      </w:r>
      <w:hyperlink r:id="rId26">
        <w:r>
          <w:rPr>
            <w:color w:val="F5821F"/>
          </w:rPr>
          <w:t>Merits” Step</w:t>
        </w:r>
      </w:hyperlink>
      <w:r>
        <w:rPr>
          <w:color w:val="6E6158"/>
        </w:rPr>
        <w:t>,” Fennemore Blog, February 10, 2026</w:t>
      </w:r>
    </w:p>
    <w:p>
      <w:pPr>
        <w:pStyle w:val="BodyText"/>
        <w:spacing w:line="292" w:lineRule="auto" w:before="113"/>
        <w:ind w:right="600"/>
      </w:pPr>
      <w:r>
        <w:rPr>
          <w:color w:val="6E6158"/>
        </w:rPr>
        <w:t>Panelist, “Balancing Life Obligations with Your Paralegal Career,” American Immigration </w:t>
      </w:r>
      <w:r>
        <w:rPr>
          <w:color w:val="6E6158"/>
        </w:rPr>
        <w:t>Lawyers Association, January 30, 2026</w:t>
      </w:r>
    </w:p>
    <w:p>
      <w:pPr>
        <w:pStyle w:val="BodyText"/>
        <w:spacing w:line="292" w:lineRule="auto" w:before="132"/>
        <w:ind w:right="654"/>
      </w:pPr>
      <w:r>
        <w:rPr>
          <w:color w:val="6E6158"/>
        </w:rPr>
        <w:t>Co-Author, “</w:t>
      </w:r>
      <w:hyperlink r:id="rId27">
        <w:r>
          <w:rPr>
            <w:color w:val="F5821F"/>
          </w:rPr>
          <w:t>What Canadian Citizens Should Know Before Traveling to the United </w:t>
        </w:r>
        <w:r>
          <w:rPr>
            <w:color w:val="F5821F"/>
          </w:rPr>
          <w:t>States</w:t>
        </w:r>
      </w:hyperlink>
      <w:r>
        <w:rPr>
          <w:color w:val="6E6158"/>
        </w:rPr>
        <w:t>,” Fennemore Blog, January 30, 2026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“Overview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Hernandez</w:t>
      </w:r>
      <w:r>
        <w:rPr>
          <w:color w:val="6E6158"/>
          <w:spacing w:val="11"/>
        </w:rPr>
        <w:t> </w:t>
      </w:r>
      <w:r>
        <w:rPr>
          <w:color w:val="6E6158"/>
        </w:rPr>
        <w:t>v.</w:t>
      </w:r>
      <w:r>
        <w:rPr>
          <w:color w:val="6E6158"/>
          <w:spacing w:val="12"/>
        </w:rPr>
        <w:t> </w:t>
      </w:r>
      <w:r>
        <w:rPr>
          <w:color w:val="6E6158"/>
        </w:rPr>
        <w:t>Bondi,”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Idaho,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2"/>
        </w:rPr>
        <w:t> </w:t>
      </w:r>
      <w:r>
        <w:rPr>
          <w:color w:val="6E6158"/>
        </w:rPr>
        <w:t>27,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600"/>
      </w:pPr>
      <w:r>
        <w:rPr>
          <w:color w:val="6E6158"/>
        </w:rPr>
        <w:t>Co-Author, “</w:t>
      </w:r>
      <w:hyperlink r:id="rId28">
        <w:r>
          <w:rPr>
            <w:color w:val="F5821F"/>
          </w:rPr>
          <w:t>H-1B Cap Lottery Update: Higher Wages Get More “Entries” Starting FY 2027</w:t>
        </w:r>
      </w:hyperlink>
      <w:r>
        <w:rPr>
          <w:color w:val="6E6158"/>
        </w:rPr>
        <w:t>,” HRO Today, January 20, 2026</w:t>
      </w:r>
    </w:p>
    <w:p>
      <w:pPr>
        <w:pStyle w:val="BodyText"/>
        <w:spacing w:line="292" w:lineRule="auto" w:before="113"/>
        <w:ind w:right="600"/>
      </w:pPr>
      <w:r>
        <w:rPr>
          <w:color w:val="6E6158"/>
        </w:rPr>
        <w:t>Co-Author, “</w:t>
      </w:r>
      <w:hyperlink r:id="rId29">
        <w:r>
          <w:rPr>
            <w:color w:val="F5821F"/>
          </w:rPr>
          <w:t>How hiring skilled foreign talent just got more complicated for employers</w:t>
        </w:r>
      </w:hyperlink>
      <w:r>
        <w:rPr>
          <w:color w:val="6E6158"/>
        </w:rPr>
        <w:t>,” AZ Big Media, January 19, 2026</w:t>
      </w:r>
    </w:p>
    <w:p>
      <w:pPr>
        <w:pStyle w:val="BodyText"/>
        <w:spacing w:line="302" w:lineRule="auto" w:before="123"/>
        <w:ind w:right="654"/>
      </w:pPr>
      <w:r>
        <w:rPr>
          <w:color w:val="6E6158"/>
        </w:rPr>
        <w:t>Co-Author, “</w:t>
      </w:r>
      <w:hyperlink r:id="rId30">
        <w:r>
          <w:rPr>
            <w:color w:val="F5821F"/>
          </w:rPr>
          <w:t>Hiring Skilled Foreign Talent Just Got More Complicated for Arizona Employers</w:t>
        </w:r>
      </w:hyperlink>
      <w:r>
        <w:rPr>
          <w:color w:val="6E6158"/>
        </w:rPr>
        <w:t>,” Greater Phoenix Chamber, January 16, 2026</w:t>
      </w:r>
    </w:p>
    <w:p>
      <w:pPr>
        <w:pStyle w:val="BodyText"/>
        <w:spacing w:line="292" w:lineRule="auto" w:before="113"/>
        <w:ind w:right="654"/>
      </w:pPr>
      <w:r>
        <w:rPr>
          <w:color w:val="6E6158"/>
        </w:rPr>
        <w:t>Co-Author, “</w:t>
      </w:r>
      <w:hyperlink r:id="rId31">
        <w:r>
          <w:rPr>
            <w:color w:val="F5821F"/>
          </w:rPr>
          <w:t>H-1B Cap Lottery Update: Higher Wages Get More “Entries” Starting FY 2027</w:t>
        </w:r>
      </w:hyperlink>
      <w:r>
        <w:rPr>
          <w:color w:val="6E6158"/>
        </w:rPr>
        <w:t>,” Fennemore Blog, January 13, 2026</w:t>
      </w:r>
    </w:p>
    <w:p>
      <w:pPr>
        <w:pStyle w:val="BodyText"/>
        <w:spacing w:line="302" w:lineRule="auto" w:before="123"/>
      </w:pPr>
      <w:r>
        <w:rPr>
          <w:color w:val="6E6158"/>
        </w:rPr>
        <w:t>Co-Author, “</w:t>
      </w:r>
      <w:hyperlink r:id="rId32">
        <w:r>
          <w:rPr>
            <w:color w:val="F5821F"/>
          </w:rPr>
          <w:t>Business Immigration in 2025–2026: Key Takeaways for Employers</w:t>
        </w:r>
      </w:hyperlink>
      <w:r>
        <w:rPr>
          <w:color w:val="6E6158"/>
        </w:rPr>
        <w:t>,” Fennemore </w:t>
      </w:r>
      <w:r>
        <w:rPr>
          <w:color w:val="6E6158"/>
        </w:rPr>
        <w:t>Blog, December 9, 2025</w:t>
      </w:r>
    </w:p>
    <w:p>
      <w:pPr>
        <w:pStyle w:val="BodyText"/>
        <w:spacing w:line="292" w:lineRule="auto" w:before="113"/>
        <w:ind w:right="600"/>
      </w:pPr>
      <w:r>
        <w:rPr>
          <w:color w:val="6E6158"/>
        </w:rPr>
        <w:t>Author, “</w:t>
      </w:r>
      <w:hyperlink r:id="rId33">
        <w:r>
          <w:rPr>
            <w:color w:val="F5821F"/>
          </w:rPr>
          <w:t>Federal Court Reverses EB-5 Fee Increases, Re-shifting the Investor Visa </w:t>
        </w:r>
        <w:r>
          <w:rPr>
            <w:color w:val="F5821F"/>
          </w:rPr>
          <w:t>Landscape</w:t>
        </w:r>
      </w:hyperlink>
      <w:r>
        <w:rPr>
          <w:color w:val="6E6158"/>
        </w:rPr>
        <w:t>,” Fennemore Blog, December 1, 2025</w:t>
      </w:r>
    </w:p>
    <w:p>
      <w:pPr>
        <w:pStyle w:val="BodyText"/>
        <w:spacing w:line="292" w:lineRule="auto" w:before="131"/>
        <w:ind w:right="654"/>
      </w:pPr>
      <w:r>
        <w:rPr>
          <w:color w:val="6E6158"/>
        </w:rPr>
        <w:t>Author, “</w:t>
      </w:r>
      <w:hyperlink r:id="rId34">
        <w:r>
          <w:rPr>
            <w:color w:val="F5821F"/>
          </w:rPr>
          <w:t>What Employers Need to Know About the $100K H-1B Visa Fee</w:t>
        </w:r>
      </w:hyperlink>
      <w:r>
        <w:rPr>
          <w:color w:val="6E6158"/>
        </w:rPr>
        <w:t>,” Fennemore Blog, December 1, 2025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35">
        <w:r>
          <w:rPr>
            <w:color w:val="F5821F"/>
          </w:rPr>
          <w:t>A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Guide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Trump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Gold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Card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Program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Fennemore</w:t>
      </w:r>
      <w:r>
        <w:rPr>
          <w:color w:val="6E6158"/>
          <w:spacing w:val="9"/>
        </w:rPr>
        <w:t> </w:t>
      </w:r>
      <w:r>
        <w:rPr>
          <w:color w:val="6E6158"/>
        </w:rPr>
        <w:t>Blog,</w:t>
      </w:r>
      <w:r>
        <w:rPr>
          <w:color w:val="6E6158"/>
          <w:spacing w:val="9"/>
        </w:rPr>
        <w:t> </w:t>
      </w:r>
      <w:r>
        <w:rPr>
          <w:color w:val="6E6158"/>
        </w:rPr>
        <w:t>November</w:t>
      </w:r>
      <w:r>
        <w:rPr>
          <w:color w:val="6E6158"/>
          <w:spacing w:val="10"/>
        </w:rPr>
        <w:t> </w:t>
      </w:r>
      <w:r>
        <w:rPr>
          <w:color w:val="6E6158"/>
        </w:rPr>
        <w:t>7,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654"/>
      </w:pPr>
      <w:r>
        <w:rPr>
          <w:color w:val="6E6158"/>
        </w:rPr>
        <w:t>Author, “</w:t>
      </w:r>
      <w:hyperlink r:id="rId36">
        <w:r>
          <w:rPr>
            <w:color w:val="F5821F"/>
          </w:rPr>
          <w:t>Client Alert: What Employers Need to Know About the $100K H-1B Visa Fee</w:t>
        </w:r>
      </w:hyperlink>
      <w:r>
        <w:rPr>
          <w:color w:val="6E6158"/>
        </w:rPr>
        <w:t>,” Fennemore</w:t>
      </w:r>
      <w:r>
        <w:rPr>
          <w:color w:val="6E6158"/>
          <w:spacing w:val="40"/>
        </w:rPr>
        <w:t> </w:t>
      </w:r>
      <w:r>
        <w:rPr>
          <w:color w:val="6E6158"/>
        </w:rPr>
        <w:t>Blog, September 23, 2025</w:t>
      </w:r>
    </w:p>
    <w:p>
      <w:pPr>
        <w:pStyle w:val="BodyText"/>
        <w:spacing w:line="420" w:lineRule="auto" w:before="113"/>
        <w:ind w:right="2446"/>
      </w:pPr>
      <w:r>
        <w:rPr>
          <w:color w:val="6E6158"/>
        </w:rPr>
        <w:t>Speaker/Contributor, Gonzaga Law School’s Immigration </w:t>
      </w:r>
      <w:r>
        <w:rPr>
          <w:color w:val="6E6158"/>
        </w:rPr>
        <w:t>Clinic Speaker/Contributor, University of Idaho’s Immigration Clinic</w:t>
      </w:r>
    </w:p>
    <w:p>
      <w:pPr>
        <w:pStyle w:val="BodyText"/>
        <w:spacing w:line="302" w:lineRule="auto"/>
        <w:ind w:right="770"/>
      </w:pPr>
      <w:r>
        <w:rPr>
          <w:color w:val="6E6158"/>
        </w:rPr>
        <w:t>Presenter, Idaho Judicial Conference, “Crossroads of Justice: How Immigration Law </w:t>
      </w:r>
      <w:r>
        <w:rPr>
          <w:color w:val="6E6158"/>
        </w:rPr>
        <w:t>Intersects with State Courts”, 2025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Presenter,</w:t>
      </w:r>
      <w:r>
        <w:rPr>
          <w:color w:val="6E6158"/>
          <w:spacing w:val="13"/>
        </w:rPr>
        <w:t> </w:t>
      </w:r>
      <w:r>
        <w:rPr>
          <w:color w:val="6E6158"/>
        </w:rPr>
        <w:t>SCG</w:t>
      </w:r>
      <w:r>
        <w:rPr>
          <w:color w:val="6E6158"/>
          <w:spacing w:val="14"/>
        </w:rPr>
        <w:t> </w:t>
      </w:r>
      <w:r>
        <w:rPr>
          <w:color w:val="6E6158"/>
        </w:rPr>
        <w:t>Legal</w:t>
      </w:r>
      <w:r>
        <w:rPr>
          <w:color w:val="6E6158"/>
          <w:spacing w:val="13"/>
        </w:rPr>
        <w:t> </w:t>
      </w:r>
      <w:r>
        <w:rPr>
          <w:color w:val="6E6158"/>
        </w:rPr>
        <w:t>Conference,</w:t>
      </w:r>
      <w:r>
        <w:rPr>
          <w:color w:val="6E6158"/>
          <w:spacing w:val="14"/>
        </w:rPr>
        <w:t> </w:t>
      </w:r>
      <w:r>
        <w:rPr>
          <w:color w:val="6E6158"/>
        </w:rPr>
        <w:t>“Coming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America:</w:t>
      </w:r>
      <w:r>
        <w:rPr>
          <w:color w:val="6E6158"/>
          <w:spacing w:val="14"/>
        </w:rPr>
        <w:t> </w:t>
      </w:r>
      <w:r>
        <w:rPr>
          <w:color w:val="6E6158"/>
        </w:rPr>
        <w:t>Immigration</w:t>
      </w:r>
      <w:r>
        <w:rPr>
          <w:color w:val="6E6158"/>
          <w:spacing w:val="13"/>
        </w:rPr>
        <w:t> </w:t>
      </w:r>
      <w:r>
        <w:rPr>
          <w:color w:val="6E6158"/>
        </w:rPr>
        <w:t>Options”,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302" w:lineRule="auto" w:before="174"/>
        <w:ind w:right="770"/>
      </w:pPr>
      <w:r>
        <w:rPr>
          <w:color w:val="6E6158"/>
        </w:rPr>
        <w:t>Presenter, “The Intersection of Criminal Law and Immigration”, Kootenai County </w:t>
      </w:r>
      <w:r>
        <w:rPr>
          <w:color w:val="6E6158"/>
        </w:rPr>
        <w:t>Public Defender’s Office, 2019</w:t>
      </w:r>
    </w:p>
    <w:p>
      <w:pPr>
        <w:pStyle w:val="BodyText"/>
        <w:spacing w:before="113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Access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Justice</w:t>
      </w:r>
      <w:r>
        <w:rPr>
          <w:color w:val="6E6158"/>
          <w:spacing w:val="9"/>
        </w:rPr>
        <w:t> </w:t>
      </w:r>
      <w:r>
        <w:rPr>
          <w:color w:val="6E6158"/>
        </w:rPr>
        <w:t>Conference,</w:t>
      </w:r>
      <w:r>
        <w:rPr>
          <w:color w:val="6E6158"/>
          <w:spacing w:val="9"/>
        </w:rPr>
        <w:t> </w:t>
      </w:r>
      <w:r>
        <w:rPr>
          <w:color w:val="6E6158"/>
        </w:rPr>
        <w:t>Spokane,</w:t>
      </w:r>
      <w:r>
        <w:rPr>
          <w:color w:val="6E6158"/>
          <w:spacing w:val="9"/>
        </w:rPr>
        <w:t> </w:t>
      </w:r>
      <w:r>
        <w:rPr>
          <w:color w:val="6E6158"/>
        </w:rPr>
        <w:t>WA,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420" w:lineRule="auto" w:before="174"/>
        <w:ind w:right="654"/>
      </w:pPr>
      <w:r>
        <w:rPr>
          <w:color w:val="6E6158"/>
        </w:rPr>
        <w:t>Presenter, “Human Resources regarding I-9 Compliance”, Idaho Department of Labor, 2018 Speaker, 2nd Annual AILA Idaho Chapter Annual Conference, 2018</w:t>
      </w:r>
    </w:p>
    <w:p>
      <w:pPr>
        <w:pStyle w:val="BodyText"/>
        <w:spacing w:line="292" w:lineRule="auto" w:before="6"/>
        <w:ind w:right="729"/>
      </w:pPr>
      <w:r>
        <w:rPr>
          <w:color w:val="6E6158"/>
        </w:rPr>
        <w:t>Presenter, “CLE Navigating Immigration Consequences and Complications”, Spokane </w:t>
      </w:r>
      <w:r>
        <w:rPr>
          <w:color w:val="6E6158"/>
        </w:rPr>
        <w:t>County Bar Association, 2019</w:t>
      </w:r>
    </w:p>
    <w:p>
      <w:pPr>
        <w:pStyle w:val="BodyText"/>
        <w:spacing w:line="420" w:lineRule="auto" w:before="124"/>
        <w:ind w:right="3537"/>
      </w:pPr>
      <w:r>
        <w:rPr>
          <w:color w:val="6E6158"/>
        </w:rPr>
        <w:t>Presenter, H-2B Training, Centro de Comunidad y Justicia, </w:t>
      </w:r>
      <w:r>
        <w:rPr>
          <w:color w:val="6E6158"/>
        </w:rPr>
        <w:t>2019 Author, “Strength in Numbers,” The Inlander, July 12, 2018</w:t>
      </w:r>
    </w:p>
    <w:p>
      <w:pPr>
        <w:pStyle w:val="BodyText"/>
        <w:spacing w:before="6"/>
      </w:pPr>
      <w:r>
        <w:rPr>
          <w:color w:val="6E6158"/>
        </w:rPr>
        <w:t>Presenter,</w:t>
      </w:r>
      <w:r>
        <w:rPr>
          <w:color w:val="6E6158"/>
          <w:spacing w:val="7"/>
        </w:rPr>
        <w:t> </w:t>
      </w:r>
      <w:r>
        <w:rPr>
          <w:color w:val="6E6158"/>
        </w:rPr>
        <w:t>“How</w:t>
      </w:r>
      <w:r>
        <w:rPr>
          <w:color w:val="6E6158"/>
          <w:spacing w:val="7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become</w:t>
      </w:r>
      <w:r>
        <w:rPr>
          <w:color w:val="6E6158"/>
          <w:spacing w:val="7"/>
        </w:rPr>
        <w:t> </w:t>
      </w:r>
      <w:r>
        <w:rPr>
          <w:color w:val="6E6158"/>
        </w:rPr>
        <w:t>a</w:t>
      </w:r>
      <w:r>
        <w:rPr>
          <w:color w:val="6E6158"/>
          <w:spacing w:val="7"/>
        </w:rPr>
        <w:t> </w:t>
      </w:r>
      <w:r>
        <w:rPr>
          <w:color w:val="6E6158"/>
        </w:rPr>
        <w:t>citizen”,</w:t>
      </w:r>
      <w:r>
        <w:rPr>
          <w:color w:val="6E6158"/>
          <w:spacing w:val="8"/>
        </w:rPr>
        <w:t> </w:t>
      </w:r>
      <w:r>
        <w:rPr>
          <w:color w:val="6E6158"/>
        </w:rPr>
        <w:t>Idaho</w:t>
      </w:r>
      <w:r>
        <w:rPr>
          <w:color w:val="6E6158"/>
          <w:spacing w:val="7"/>
        </w:rPr>
        <w:t> </w:t>
      </w:r>
      <w:r>
        <w:rPr>
          <w:color w:val="6E6158"/>
        </w:rPr>
        <w:t>League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Women</w:t>
      </w:r>
      <w:r>
        <w:rPr>
          <w:color w:val="6E6158"/>
          <w:spacing w:val="7"/>
        </w:rPr>
        <w:t> </w:t>
      </w:r>
      <w:r>
        <w:rPr>
          <w:color w:val="6E6158"/>
        </w:rPr>
        <w:t>Voters,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420" w:lineRule="auto" w:before="174"/>
        <w:ind w:right="654"/>
      </w:pPr>
      <w:r>
        <w:rPr>
          <w:color w:val="6E6158"/>
        </w:rPr>
        <w:t>Presenter, I-9 Compliance, Human Resources Network of North Idaho (HRNNI) Meeting, </w:t>
      </w:r>
      <w:r>
        <w:rPr>
          <w:color w:val="6E6158"/>
        </w:rPr>
        <w:t>2018 Speaker, Families Together Rally, Coeur d’Alene, Idaho, 2018</w:t>
      </w:r>
    </w:p>
    <w:p>
      <w:pPr>
        <w:pStyle w:val="BodyText"/>
        <w:spacing w:line="427" w:lineRule="auto"/>
        <w:ind w:right="4491"/>
      </w:pPr>
      <w:r>
        <w:rPr>
          <w:color w:val="6E6158"/>
        </w:rPr>
        <w:t>Presenter, Spokane County Bar Association CLE, </w:t>
      </w:r>
      <w:r>
        <w:rPr>
          <w:color w:val="6E6158"/>
        </w:rPr>
        <w:t>2017 Speaker, First District Bar Association, 2017</w:t>
      </w:r>
    </w:p>
    <w:p>
      <w:pPr>
        <w:pStyle w:val="BodyText"/>
        <w:spacing w:line="422" w:lineRule="auto"/>
        <w:ind w:right="2446"/>
      </w:pPr>
      <w:r>
        <w:rPr>
          <w:color w:val="6E6158"/>
        </w:rPr>
        <w:t>Presenter, Idaho Association of Criminal Defense Attorneys Conference, </w:t>
      </w:r>
      <w:r>
        <w:rPr>
          <w:color w:val="6E6158"/>
        </w:rPr>
        <w:t>2017 Speaker, “Immigration Dilemmas in Our Backyard,” Progressive Dinners, 2017 Speaker, Kootenai County Democrat Club, 2017</w:t>
      </w:r>
    </w:p>
    <w:p>
      <w:pPr>
        <w:pStyle w:val="BodyText"/>
        <w:spacing w:line="232" w:lineRule="exact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Boundary</w:t>
      </w:r>
      <w:r>
        <w:rPr>
          <w:color w:val="6E6158"/>
          <w:spacing w:val="11"/>
        </w:rPr>
        <w:t> </w:t>
      </w:r>
      <w:r>
        <w:rPr>
          <w:color w:val="6E6158"/>
        </w:rPr>
        <w:t>County</w:t>
      </w:r>
      <w:r>
        <w:rPr>
          <w:color w:val="6E6158"/>
          <w:spacing w:val="10"/>
        </w:rPr>
        <w:t> </w:t>
      </w:r>
      <w:r>
        <w:rPr>
          <w:color w:val="6E6158"/>
        </w:rPr>
        <w:t>Farmworkers</w:t>
      </w:r>
      <w:r>
        <w:rPr>
          <w:color w:val="6E6158"/>
          <w:spacing w:val="11"/>
        </w:rPr>
        <w:t> </w:t>
      </w:r>
      <w:r>
        <w:rPr>
          <w:color w:val="6E6158"/>
        </w:rPr>
        <w:t>Know</w:t>
      </w:r>
      <w:r>
        <w:rPr>
          <w:color w:val="6E6158"/>
          <w:spacing w:val="10"/>
        </w:rPr>
        <w:t> </w:t>
      </w:r>
      <w:r>
        <w:rPr>
          <w:color w:val="6E6158"/>
        </w:rPr>
        <w:t>Your</w:t>
      </w:r>
      <w:r>
        <w:rPr>
          <w:color w:val="6E6158"/>
          <w:spacing w:val="11"/>
        </w:rPr>
        <w:t> </w:t>
      </w:r>
      <w:r>
        <w:rPr>
          <w:color w:val="6E6158"/>
        </w:rPr>
        <w:t>Rights</w:t>
      </w:r>
      <w:r>
        <w:rPr>
          <w:color w:val="6E6158"/>
          <w:spacing w:val="11"/>
        </w:rPr>
        <w:t> </w:t>
      </w:r>
      <w:r>
        <w:rPr>
          <w:color w:val="6E6158"/>
        </w:rPr>
        <w:t>Event,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65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Immigration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CLE,</w:t>
      </w:r>
      <w:r>
        <w:rPr>
          <w:color w:val="6E6158"/>
          <w:spacing w:val="12"/>
        </w:rPr>
        <w:t> </w:t>
      </w:r>
      <w:r>
        <w:rPr>
          <w:color w:val="6E6158"/>
        </w:rPr>
        <w:t>First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Coeur</w:t>
      </w:r>
      <w:r>
        <w:rPr>
          <w:color w:val="6E6158"/>
          <w:spacing w:val="12"/>
        </w:rPr>
        <w:t> </w:t>
      </w:r>
      <w:r>
        <w:rPr>
          <w:color w:val="6E6158"/>
        </w:rPr>
        <w:t>d’Alene,</w:t>
      </w:r>
      <w:r>
        <w:rPr>
          <w:color w:val="6E6158"/>
          <w:spacing w:val="12"/>
        </w:rPr>
        <w:t> </w:t>
      </w:r>
      <w:r>
        <w:rPr>
          <w:color w:val="6E6158"/>
        </w:rPr>
        <w:t>Idaho,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3537"/>
      </w:pPr>
      <w:r>
        <w:rPr>
          <w:color w:val="6E6158"/>
        </w:rPr>
        <w:t>Member, American Immigration Lawyers Association </w:t>
      </w:r>
      <w:r>
        <w:rPr>
          <w:color w:val="6E6158"/>
        </w:rPr>
        <w:t>(AILA) Member, Washington and Idaho Regional Sections of AILA Member, Idaho State Bar Association</w:t>
      </w:r>
    </w:p>
    <w:p>
      <w:pPr>
        <w:pStyle w:val="BodyText"/>
        <w:spacing w:line="422" w:lineRule="auto"/>
        <w:ind w:right="4825"/>
      </w:pP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Idaho</w:t>
      </w:r>
      <w:r>
        <w:rPr>
          <w:color w:val="6E6158"/>
          <w:spacing w:val="40"/>
        </w:rPr>
        <w:t> </w:t>
      </w:r>
      <w:r>
        <w:rPr>
          <w:color w:val="6E6158"/>
        </w:rPr>
        <w:t>First</w:t>
      </w:r>
      <w:r>
        <w:rPr>
          <w:color w:val="6E6158"/>
          <w:spacing w:val="40"/>
        </w:rPr>
        <w:t>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Bar</w:t>
      </w:r>
      <w:r>
        <w:rPr>
          <w:color w:val="6E6158"/>
          <w:spacing w:val="40"/>
        </w:rPr>
        <w:t> </w:t>
      </w:r>
      <w:r>
        <w:rPr>
          <w:color w:val="6E6158"/>
        </w:rPr>
        <w:t>Association Member, Washington State Bar Association</w:t>
      </w:r>
      <w:r>
        <w:rPr>
          <w:color w:val="6E6158"/>
          <w:spacing w:val="80"/>
        </w:rPr>
        <w:t> </w:t>
      </w:r>
      <w:r>
        <w:rPr>
          <w:color w:val="6E6158"/>
        </w:rPr>
        <w:t>Member, Kootenai County Chamber of </w:t>
      </w:r>
      <w:r>
        <w:rPr>
          <w:color w:val="6E6158"/>
        </w:rPr>
        <w:t>Commerce Member, John P Gray Bench Bar Forum</w:t>
      </w:r>
    </w:p>
    <w:p>
      <w:pPr>
        <w:pStyle w:val="BodyText"/>
        <w:spacing w:line="229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Academy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Leadership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spacing w:val="11"/>
        </w:rPr>
        <w:t> </w:t>
      </w:r>
      <w:r>
        <w:rPr>
          <w:color w:val="6E6158"/>
        </w:rPr>
        <w:t>(IALL),</w:t>
      </w:r>
      <w:r>
        <w:rPr>
          <w:color w:val="6E6158"/>
          <w:spacing w:val="11"/>
        </w:rPr>
        <w:t> </w:t>
      </w:r>
      <w:r>
        <w:rPr>
          <w:color w:val="6E6158"/>
        </w:rPr>
        <w:t>Class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2019</w:t>
      </w:r>
    </w:p>
    <w:p>
      <w:pPr>
        <w:pStyle w:val="BodyText"/>
        <w:spacing w:line="420" w:lineRule="auto" w:before="181"/>
        <w:ind w:right="600"/>
      </w:pPr>
      <w:r>
        <w:rPr>
          <w:color w:val="6E6158"/>
        </w:rPr>
        <w:t>Volunteer, Annual Lobbying of Congress regarding immigration laws (National Day of </w:t>
      </w:r>
      <w:r>
        <w:rPr>
          <w:color w:val="6E6158"/>
        </w:rPr>
        <w:t>Action) Volunteer, Alternative Dispute Resolution, 2005</w:t>
      </w:r>
    </w:p>
    <w:p>
      <w:pPr>
        <w:pStyle w:val="BodyText"/>
        <w:spacing w:line="231" w:lineRule="exact"/>
      </w:pPr>
      <w:r>
        <w:rPr>
          <w:color w:val="6E6158"/>
        </w:rPr>
        <w:t>Board</w:t>
      </w:r>
      <w:r>
        <w:rPr>
          <w:color w:val="6E6158"/>
          <w:spacing w:val="6"/>
        </w:rPr>
        <w:t> </w:t>
      </w:r>
      <w:r>
        <w:rPr>
          <w:color w:val="6E6158"/>
        </w:rPr>
        <w:t>Member,</w:t>
      </w:r>
      <w:r>
        <w:rPr>
          <w:color w:val="6E6158"/>
          <w:spacing w:val="6"/>
        </w:rPr>
        <w:t> </w:t>
      </w:r>
      <w:r>
        <w:rPr>
          <w:color w:val="6E6158"/>
        </w:rPr>
        <w:t>Share</w:t>
      </w:r>
      <w:r>
        <w:rPr>
          <w:color w:val="6E6158"/>
          <w:spacing w:val="6"/>
        </w:rPr>
        <w:t> </w:t>
      </w:r>
      <w:r>
        <w:rPr>
          <w:color w:val="6E6158"/>
        </w:rPr>
        <w:t>Our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World</w:t>
      </w:r>
    </w:p>
    <w:p>
      <w:pPr>
        <w:pStyle w:val="BodyText"/>
        <w:spacing w:line="422" w:lineRule="auto" w:before="173"/>
        <w:ind w:right="4491"/>
      </w:pPr>
      <w:r>
        <w:rPr>
          <w:color w:val="6E6158"/>
        </w:rPr>
        <w:t>Volunteer, Idaho Volunteer Lawyer’s Program Volunteer, Idaho State Bar Professional Conduct </w:t>
      </w:r>
      <w:r>
        <w:rPr>
          <w:color w:val="6E6158"/>
        </w:rPr>
        <w:t>Board Idaho State Bar Exam Grader</w:t>
      </w:r>
    </w:p>
    <w:p>
      <w:pPr>
        <w:pStyle w:val="BodyText"/>
        <w:spacing w:after="0" w:line="42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Committee</w:t>
      </w:r>
      <w:r>
        <w:rPr>
          <w:color w:val="6E6158"/>
          <w:spacing w:val="10"/>
        </w:rPr>
        <w:t> </w:t>
      </w:r>
      <w:r>
        <w:rPr>
          <w:color w:val="6E6158"/>
        </w:rPr>
        <w:t>Chair,</w:t>
      </w:r>
      <w:r>
        <w:rPr>
          <w:color w:val="6E6158"/>
          <w:spacing w:val="10"/>
        </w:rPr>
        <w:t> </w:t>
      </w:r>
      <w:r>
        <w:rPr>
          <w:color w:val="6E6158"/>
        </w:rPr>
        <w:t>AILA</w:t>
      </w:r>
      <w:r>
        <w:rPr>
          <w:color w:val="6E6158"/>
          <w:spacing w:val="10"/>
        </w:rPr>
        <w:t> </w:t>
      </w:r>
      <w:r>
        <w:rPr>
          <w:color w:val="6E6158"/>
        </w:rPr>
        <w:t>Eastern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line="427" w:lineRule="auto" w:before="174"/>
        <w:ind w:right="3537"/>
      </w:pPr>
      <w:r>
        <w:rPr>
          <w:color w:val="6E6158"/>
        </w:rPr>
        <w:t>Member, AILA Washington Congressional Liaison </w:t>
      </w:r>
      <w:r>
        <w:rPr>
          <w:color w:val="6E6158"/>
        </w:rPr>
        <w:t>Committee Chair, AILA Idaho</w:t>
      </w:r>
    </w:p>
    <w:p>
      <w:pPr>
        <w:pStyle w:val="BodyText"/>
        <w:spacing w:line="420" w:lineRule="auto"/>
        <w:ind w:right="4436"/>
      </w:pPr>
      <w:r>
        <w:rPr>
          <w:color w:val="6E6158"/>
        </w:rPr>
        <w:t>Co-Chair, AILA Idaho Congressional Liaison </w:t>
      </w:r>
      <w:r>
        <w:rPr>
          <w:color w:val="6E6158"/>
        </w:rPr>
        <w:t>Committee Co-Chair, AILA Idaho’s Conference Committee Member, AILA Board of Governors</w:t>
      </w:r>
    </w:p>
    <w:p>
      <w:pPr>
        <w:pStyle w:val="BodyText"/>
      </w:pPr>
      <w:r>
        <w:rPr>
          <w:color w:val="6E6158"/>
        </w:rPr>
        <w:t>Volunteer,</w:t>
      </w:r>
      <w:r>
        <w:rPr>
          <w:color w:val="6E6158"/>
          <w:spacing w:val="7"/>
        </w:rPr>
        <w:t> </w:t>
      </w:r>
      <w:r>
        <w:rPr>
          <w:color w:val="6E6158"/>
        </w:rPr>
        <w:t>Annual</w:t>
      </w:r>
      <w:r>
        <w:rPr>
          <w:color w:val="6E6158"/>
          <w:spacing w:val="8"/>
        </w:rPr>
        <w:t> </w:t>
      </w:r>
      <w:r>
        <w:rPr>
          <w:color w:val="6E6158"/>
        </w:rPr>
        <w:t>Citizenship</w:t>
      </w:r>
      <w:r>
        <w:rPr>
          <w:color w:val="6E6158"/>
          <w:spacing w:val="7"/>
        </w:rPr>
        <w:t> </w:t>
      </w:r>
      <w:r>
        <w:rPr>
          <w:color w:val="6E6158"/>
        </w:rPr>
        <w:t>Days,</w:t>
      </w:r>
      <w:r>
        <w:rPr>
          <w:color w:val="6E6158"/>
          <w:spacing w:val="8"/>
        </w:rPr>
        <w:t> </w:t>
      </w:r>
      <w:r>
        <w:rPr>
          <w:color w:val="6E6158"/>
        </w:rPr>
        <w:t>Washington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Idaho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8039"/>
      </w:pPr>
      <w:r>
        <w:rPr>
          <w:color w:val="6E6158"/>
          <w:spacing w:val="-2"/>
        </w:rPr>
        <w:t>Idaho Washington</w:t>
      </w:r>
    </w:p>
    <w:p>
      <w:pPr>
        <w:pStyle w:val="BodyText"/>
        <w:spacing w:line="427" w:lineRule="auto"/>
        <w:ind w:right="6844"/>
      </w:pPr>
      <w:r>
        <w:rPr>
          <w:color w:val="6E6158"/>
        </w:rPr>
        <w:t>Idaho Federal District Court 9th</w:t>
      </w:r>
      <w:r>
        <w:rPr>
          <w:color w:val="6E6158"/>
          <w:spacing w:val="8"/>
        </w:rPr>
        <w:t> </w:t>
      </w:r>
      <w:r>
        <w:rPr>
          <w:color w:val="6E6158"/>
        </w:rPr>
        <w:t>Circuit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Appeals</w:t>
      </w:r>
    </w:p>
    <w:p>
      <w:pPr>
        <w:pStyle w:val="BodyText"/>
        <w:spacing w:line="226" w:lineRule="exact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2"/>
      </w:pPr>
      <w:r>
        <w:rPr>
          <w:color w:val="6E6158"/>
        </w:rPr>
        <w:t>Canada,</w:t>
      </w:r>
      <w:r>
        <w:rPr>
          <w:color w:val="6E6158"/>
          <w:spacing w:val="12"/>
        </w:rPr>
        <w:t> </w:t>
      </w:r>
      <w:r>
        <w:rPr>
          <w:color w:val="6E6158"/>
        </w:rPr>
        <w:t>Barrister</w:t>
      </w:r>
      <w:r>
        <w:rPr>
          <w:color w:val="6E6158"/>
          <w:spacing w:val="12"/>
        </w:rPr>
        <w:t> </w:t>
      </w:r>
      <w:r>
        <w:rPr>
          <w:color w:val="6E6158"/>
        </w:rPr>
        <w:t>&amp;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Solicitor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mmigration/" TargetMode="External"/><Relationship Id="rId9" Type="http://schemas.openxmlformats.org/officeDocument/2006/relationships/hyperlink" Target="https://www.fennemorelaw.com/contact-us/coeur-dalene/" TargetMode="External"/><Relationship Id="rId10" Type="http://schemas.openxmlformats.org/officeDocument/2006/relationships/hyperlink" Target="mailto:amoss@fennemorelaw.com" TargetMode="External"/><Relationship Id="rId11" Type="http://schemas.openxmlformats.org/officeDocument/2006/relationships/hyperlink" Target="https://www.fennemorelaw.com/dhs-finalizes-end-of-duration-of-status-for-f-j-and-i-visa-categories/" TargetMode="External"/><Relationship Id="rId12" Type="http://schemas.openxmlformats.org/officeDocument/2006/relationships/hyperlink" Target="https://www.fennemorelaw.com/proposed-eb-5-changes-what-investors-and-regional-centers-should-know-now/" TargetMode="External"/><Relationship Id="rId13" Type="http://schemas.openxmlformats.org/officeDocument/2006/relationships/hyperlink" Target="https://www.fennemorelaw.com/supreme-court-immigration-update-border-asylum-access-tps-for-haiti-and-syria-and-employer-next-steps/" TargetMode="External"/><Relationship Id="rId14" Type="http://schemas.openxmlformats.org/officeDocument/2006/relationships/hyperlink" Target="https://www.fennemorelaw.com/dhs-clarifies-green-card-processing-adjustment-of-status-remains-available-but-discretion-matters/" TargetMode="External"/><Relationship Id="rId15" Type="http://schemas.openxmlformats.org/officeDocument/2006/relationships/hyperlink" Target="https://inbusinessphx.com/legal-regulations/immigration-site-visits-what-your-team-needs-to-know" TargetMode="External"/><Relationship Id="rId16" Type="http://schemas.openxmlformats.org/officeDocument/2006/relationships/hyperlink" Target="https://www.fennemorelaw.com/u-s-site-visits-and-employer-compliance-readiness-what-to-tighten-now/" TargetMode="External"/><Relationship Id="rId17" Type="http://schemas.openxmlformats.org/officeDocument/2006/relationships/hyperlink" Target="https://www.fennemorelaw.com/site-visit-readiness-checklist-what-hr-managers-and-front-desk-should-do/" TargetMode="External"/><Relationship Id="rId18" Type="http://schemas.openxmlformats.org/officeDocument/2006/relationships/hyperlink" Target="https://www.fennemorelaw.com/immigration-onboarding-checklist-for-hr-the-first-10-minutes-with-a-new-foreign-national-hire/" TargetMode="External"/><Relationship Id="rId19" Type="http://schemas.openxmlformats.org/officeDocument/2006/relationships/hyperlink" Target="https://isb.idaho.gov/blog/from-access-to-advancement-mentorship-and-sponsorship-for-women-lawyers-in-idaho-by-lindsey-a-morgan-kathleen-m-carr-alycia-moss-catherine-renshaw-and-katie-sheftic/" TargetMode="External"/><Relationship Id="rId20" Type="http://schemas.openxmlformats.org/officeDocument/2006/relationships/hyperlink" Target="https://www.fennemorelaw.com/client-alert-federal-court-vacates-100k-h-1b-payment-requirement/" TargetMode="External"/><Relationship Id="rId21" Type="http://schemas.openxmlformats.org/officeDocument/2006/relationships/hyperlink" Target="https://www.fennemorelaw.com/client-alert-uscis-policy-change-may-require-immediate-reassessment-of-adjustment-of-status-strategy/" TargetMode="External"/><Relationship Id="rId22" Type="http://schemas.openxmlformats.org/officeDocument/2006/relationships/hyperlink" Target="https://www.fennemorelaw.com/show-me-your-papers-do-you-have-to-carry-immigration-documents/" TargetMode="External"/><Relationship Id="rId23" Type="http://schemas.openxmlformats.org/officeDocument/2006/relationships/hyperlink" Target="https://www.fennemorelaw.com/fennemores-industry-analysis-of-the-rescheduling-of-medical-marijuana/" TargetMode="External"/><Relationship Id="rId24" Type="http://schemas.openxmlformats.org/officeDocument/2006/relationships/hyperlink" Target="https://issuu.com/mediapublishersgroup/docs/march_2026_issue_of_in_business_magazine_/34" TargetMode="External"/><Relationship Id="rId25" Type="http://schemas.openxmlformats.org/officeDocument/2006/relationships/hyperlink" Target="https://www.fennemorelaw.com/fiscal-year-2027-h-1b-cap-lottery-what-employers-should-know-quick-guide/" TargetMode="External"/><Relationship Id="rId26" Type="http://schemas.openxmlformats.org/officeDocument/2006/relationships/hyperlink" Target="https://www.fennemorelaw.com/mukherji-v-miller-raises-new-questions-about-the-kazarian-based-eb-1a-final-merits-step/" TargetMode="External"/><Relationship Id="rId27" Type="http://schemas.openxmlformats.org/officeDocument/2006/relationships/hyperlink" Target="https://www.fennemorelaw.com/what-canadian-citizens-should-know-before-traveling-to-the-united-states/" TargetMode="External"/><Relationship Id="rId28" Type="http://schemas.openxmlformats.org/officeDocument/2006/relationships/hyperlink" Target="https://www.hrotoday.com/news/ticker/h-1b-cap-lottery-update-january-2026-high-wages/" TargetMode="External"/><Relationship Id="rId29" Type="http://schemas.openxmlformats.org/officeDocument/2006/relationships/hyperlink" Target="https://azbigmedia.com/business/how-hiring-skilled-foreign-talent-just-got-more-complicated-for-employers/" TargetMode="External"/><Relationship Id="rId30" Type="http://schemas.openxmlformats.org/officeDocument/2006/relationships/hyperlink" Target="https://phoenixchamber.com/2026/01/16/hiring-skilled-foreign-talent-just-got-more-complicated-for-arizona-employers/" TargetMode="External"/><Relationship Id="rId31" Type="http://schemas.openxmlformats.org/officeDocument/2006/relationships/hyperlink" Target="https://www.fennemorelaw.com/h-1b-cap-lottery-update-higher-wages-get-more-entries-starting-fy-2027/" TargetMode="External"/><Relationship Id="rId32" Type="http://schemas.openxmlformats.org/officeDocument/2006/relationships/hyperlink" Target="https://www.fennemorelaw.com/business-immigration-in-2025-2026-key-takeaways-for-employers/" TargetMode="External"/><Relationship Id="rId33" Type="http://schemas.openxmlformats.org/officeDocument/2006/relationships/hyperlink" Target="https://www.fennemorelaw.com/federal-court-reverses-eb-5-fee-increases-re-shifting-the-investor-visa-landscape/" TargetMode="External"/><Relationship Id="rId34" Type="http://schemas.openxmlformats.org/officeDocument/2006/relationships/hyperlink" Target="https://www.fennemorelaw.com/what-employers-need-to-know-about-the-100k-h-1b-visa-fee-2/" TargetMode="External"/><Relationship Id="rId35" Type="http://schemas.openxmlformats.org/officeDocument/2006/relationships/hyperlink" Target="https://www.fennemorelaw.com/a-guide-to-the-trump-gold-card-program/" TargetMode="External"/><Relationship Id="rId36" Type="http://schemas.openxmlformats.org/officeDocument/2006/relationships/hyperlink" Target="https://www.fennemorelaw.com/client-alert-what-employers-need-to-know-about-the-100k-h-1b-visa-fe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Alycia Moss - Fennemore</dc:title>
  <dcterms:created xsi:type="dcterms:W3CDTF">2026-07-24T19:21:51Z</dcterms:created>
  <dcterms:modified xsi:type="dcterms:W3CDTF">2026-07-24T19:21:51Z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2026-07-24T00:00:00Z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2026-07-24T00:00:00Z</vt:filetime>
  </property>
  <property fmtid="{D5CDD505-2E9C-101B-9397-08002B2CF9AE}" pid="6" name="Producer">
    <vt:lpwstr>Skia/PDF m150</vt:lpwstr>
  </property>
</Properties>
</file>