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ke Moawad bi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448" w:right="1450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JAKE N.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9"/>
                                </w:rPr>
                                <w:t>MOAWAD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510.622.7507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jmoawad@fennemorelaw.com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Jake Moawad bio.png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448" w:right="1450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JAKE N. </w:t>
                        </w:r>
                        <w:r>
                          <w:rPr>
                            <w:color w:val="FFFFFF"/>
                            <w:spacing w:val="-12"/>
                            <w:sz w:val="39"/>
                          </w:rPr>
                          <w:t>MOAWAD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510.622.7507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jmoawad@fennemorelaw.com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JAKE</w:t>
      </w:r>
      <w:r>
        <w:rPr>
          <w:color w:val="FF8100"/>
          <w:spacing w:val="5"/>
        </w:rPr>
        <w:t> </w:t>
      </w:r>
      <w:r>
        <w:rPr>
          <w:color w:val="FF8100"/>
        </w:rPr>
        <w:t>N.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MOAWAD</w:t>
      </w:r>
    </w:p>
    <w:p>
      <w:pPr>
        <w:pStyle w:val="BodyText"/>
        <w:spacing w:line="295" w:lineRule="auto" w:before="147"/>
        <w:ind w:right="472"/>
      </w:pPr>
      <w:r>
        <w:rPr>
          <w:color w:val="6E6158"/>
        </w:rPr>
        <w:t>Jake Moawad is a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associate representing both individuals and companies in</w:t>
      </w:r>
      <w:r>
        <w:rPr>
          <w:color w:val="6E6158"/>
          <w:spacing w:val="40"/>
        </w:rPr>
        <w:t> </w:t>
      </w:r>
      <w:r>
        <w:rPr>
          <w:color w:val="6E6158"/>
        </w:rPr>
        <w:t>commercial disputes in state and federal courts. He works with businesses ranging from emerging</w:t>
      </w:r>
      <w:r>
        <w:rPr>
          <w:color w:val="6E6158"/>
          <w:spacing w:val="40"/>
        </w:rPr>
        <w:t> </w:t>
      </w:r>
      <w:r>
        <w:rPr>
          <w:color w:val="6E6158"/>
        </w:rPr>
        <w:t>startups to Fortune 500 organizations, helping clients resolve contract disputes, business torts,</w:t>
      </w:r>
      <w:r>
        <w:rPr>
          <w:color w:val="6E6158"/>
          <w:spacing w:val="40"/>
        </w:rPr>
        <w:t> </w:t>
      </w:r>
      <w:r>
        <w:rPr>
          <w:color w:val="6E6158"/>
        </w:rPr>
        <w:t>franchise litigation, and other high-stakes commercial conflicts through strategic advocacy and</w:t>
      </w:r>
      <w:r>
        <w:rPr>
          <w:color w:val="6E6158"/>
          <w:spacing w:val="40"/>
        </w:rPr>
        <w:t> </w:t>
      </w:r>
      <w:r>
        <w:rPr>
          <w:color w:val="6E6158"/>
        </w:rPr>
        <w:t>practical legal counsel.</w:t>
      </w:r>
    </w:p>
    <w:p>
      <w:pPr>
        <w:pStyle w:val="BodyText"/>
        <w:spacing w:line="292" w:lineRule="auto" w:before="203"/>
        <w:ind w:right="472"/>
      </w:pPr>
      <w:r>
        <w:rPr>
          <w:color w:val="6E6158"/>
        </w:rPr>
        <w:t>Jake manages every stage of litigation, from early case assessment and legal strategy through</w:t>
      </w:r>
      <w:r>
        <w:rPr>
          <w:color w:val="6E6158"/>
          <w:spacing w:val="40"/>
        </w:rPr>
        <w:t> </w:t>
      </w:r>
      <w:r>
        <w:rPr>
          <w:color w:val="6E6158"/>
        </w:rPr>
        <w:t>discovery, motion practice, depositions, and trial preparation. He has extensive experience</w:t>
      </w:r>
      <w:r>
        <w:rPr>
          <w:color w:val="6E6158"/>
          <w:spacing w:val="40"/>
        </w:rPr>
        <w:t> </w:t>
      </w:r>
      <w:r>
        <w:rPr>
          <w:color w:val="6E6158"/>
        </w:rPr>
        <w:t>prosecuting and defending breach of contract claims, franchisor-franchisee disputes, and</w:t>
      </w:r>
      <w:r>
        <w:rPr>
          <w:color w:val="6E6158"/>
          <w:spacing w:val="40"/>
        </w:rPr>
        <w:t> </w:t>
      </w:r>
      <w:r>
        <w:rPr>
          <w:color w:val="6E6158"/>
        </w:rPr>
        <w:t>transactional litigation.</w:t>
      </w:r>
    </w:p>
    <w:p>
      <w:pPr>
        <w:pStyle w:val="BodyText"/>
        <w:spacing w:line="292" w:lineRule="auto" w:before="206"/>
        <w:ind w:right="472"/>
      </w:pPr>
      <w:r>
        <w:rPr>
          <w:color w:val="6E6158"/>
        </w:rPr>
        <w:t>Jake combines his engineering degree and STEM background with his experience in </w:t>
      </w:r>
      <w:hyperlink r:id="rId11">
        <w:r>
          <w:rPr>
            <w:color w:val="F5821F"/>
          </w:rPr>
          <w:t>intellectual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property</w:t>
        </w:r>
        <w:r>
          <w:rPr>
            <w:color w:val="F5821F"/>
            <w:spacing w:val="39"/>
          </w:rPr>
          <w:t> </w:t>
        </w:r>
        <w:r>
          <w:rPr>
            <w:color w:val="F5821F"/>
          </w:rPr>
          <w:t>litigation</w:t>
        </w:r>
      </w:hyperlink>
      <w:r>
        <w:rPr>
          <w:color w:val="6E6158"/>
        </w:rPr>
        <w:t>,</w:t>
      </w:r>
      <w:r>
        <w:rPr>
          <w:color w:val="6E6158"/>
          <w:spacing w:val="39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patent</w:t>
      </w:r>
      <w:r>
        <w:rPr>
          <w:color w:val="6E6158"/>
          <w:spacing w:val="39"/>
        </w:rPr>
        <w:t> </w:t>
      </w:r>
      <w:r>
        <w:rPr>
          <w:color w:val="6E6158"/>
        </w:rPr>
        <w:t>litigation,</w:t>
      </w:r>
      <w:r>
        <w:rPr>
          <w:color w:val="6E6158"/>
          <w:spacing w:val="39"/>
        </w:rPr>
        <w:t> </w:t>
      </w:r>
      <w:r>
        <w:rPr>
          <w:color w:val="6E6158"/>
        </w:rPr>
        <w:t>trademark,</w:t>
      </w:r>
      <w:r>
        <w:rPr>
          <w:color w:val="6E6158"/>
          <w:spacing w:val="39"/>
        </w:rPr>
        <w:t> </w:t>
      </w:r>
      <w:r>
        <w:rPr>
          <w:color w:val="6E6158"/>
        </w:rPr>
        <w:t>copyright,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trade</w:t>
      </w:r>
      <w:r>
        <w:rPr>
          <w:color w:val="6E6158"/>
          <w:spacing w:val="39"/>
        </w:rPr>
        <w:t> </w:t>
      </w:r>
      <w:r>
        <w:rPr>
          <w:color w:val="6E6158"/>
        </w:rPr>
        <w:t>secret</w:t>
      </w:r>
      <w:r>
        <w:rPr>
          <w:color w:val="6E6158"/>
          <w:spacing w:val="39"/>
        </w:rPr>
        <w:t> </w:t>
      </w:r>
      <w:r>
        <w:rPr>
          <w:color w:val="6E6158"/>
        </w:rPr>
        <w:t>matters.</w:t>
      </w:r>
    </w:p>
    <w:p>
      <w:pPr>
        <w:pStyle w:val="BodyText"/>
        <w:spacing w:line="295" w:lineRule="auto" w:before="1"/>
        <w:ind w:right="472"/>
      </w:pPr>
      <w:r>
        <w:rPr>
          <w:color w:val="6E6158"/>
        </w:rPr>
        <w:t>This combination gives him a deep understanding of the technical and legal issues involved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protecting innovation and intellectual property. Clients value his thoughtful, detail-oriented</w:t>
      </w:r>
      <w:r>
        <w:rPr>
          <w:color w:val="6E6158"/>
          <w:spacing w:val="40"/>
        </w:rPr>
        <w:t> </w:t>
      </w:r>
      <w:r>
        <w:rPr>
          <w:color w:val="6E6158"/>
        </w:rPr>
        <w:t>approach to developing litigation strategies that align with their business objectives while</w:t>
      </w:r>
      <w:r>
        <w:rPr>
          <w:color w:val="6E6158"/>
          <w:spacing w:val="40"/>
        </w:rPr>
        <w:t> </w:t>
      </w:r>
      <w:r>
        <w:rPr>
          <w:color w:val="6E6158"/>
        </w:rPr>
        <w:t>positioning matters for efficient and favorable resolution.</w:t>
      </w:r>
    </w:p>
    <w:p>
      <w:pPr>
        <w:pStyle w:val="BodyText"/>
        <w:spacing w:line="297" w:lineRule="auto" w:before="197"/>
        <w:ind w:right="472"/>
      </w:pPr>
      <w:r>
        <w:rPr>
          <w:color w:val="6E6158"/>
        </w:rPr>
        <w:t>Prior to joining Fennemore, Jake served as a judicial extern to Chief Judge Algenon L. Marbley of</w:t>
      </w:r>
      <w:r>
        <w:rPr>
          <w:color w:val="6E6158"/>
          <w:spacing w:val="40"/>
        </w:rPr>
        <w:t> </w:t>
      </w:r>
      <w:r>
        <w:rPr>
          <w:color w:val="6E6158"/>
        </w:rPr>
        <w:t>the U.S. District Court for the Southern District of Ohio. During his externship, he assisted with</w:t>
      </w:r>
      <w:r>
        <w:rPr>
          <w:color w:val="6E6158"/>
          <w:spacing w:val="40"/>
        </w:rPr>
        <w:t> </w:t>
      </w:r>
      <w:r>
        <w:rPr>
          <w:color w:val="6E6158"/>
        </w:rPr>
        <w:t>preparing</w:t>
      </w:r>
      <w:r>
        <w:rPr>
          <w:color w:val="6E6158"/>
          <w:spacing w:val="31"/>
        </w:rPr>
        <w:t> </w:t>
      </w:r>
      <w:r>
        <w:rPr>
          <w:color w:val="6E6158"/>
        </w:rPr>
        <w:t>judicial</w:t>
      </w:r>
      <w:r>
        <w:rPr>
          <w:color w:val="6E6158"/>
          <w:spacing w:val="31"/>
        </w:rPr>
        <w:t> </w:t>
      </w:r>
      <w:r>
        <w:rPr>
          <w:color w:val="6E6158"/>
        </w:rPr>
        <w:t>orders</w:t>
      </w:r>
      <w:r>
        <w:rPr>
          <w:color w:val="6E6158"/>
          <w:spacing w:val="31"/>
        </w:rPr>
        <w:t> </w:t>
      </w:r>
      <w:r>
        <w:rPr>
          <w:color w:val="6E6158"/>
        </w:rPr>
        <w:t>involving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variety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issues,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patent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trademark</w:t>
      </w:r>
    </w:p>
    <w:p>
      <w:pPr>
        <w:pStyle w:val="BodyText"/>
        <w:spacing w:line="229" w:lineRule="exact"/>
      </w:pP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giving</w:t>
      </w:r>
      <w:r>
        <w:rPr>
          <w:color w:val="6E6158"/>
          <w:spacing w:val="15"/>
        </w:rPr>
        <w:t> </w:t>
      </w:r>
      <w:r>
        <w:rPr>
          <w:color w:val="6E6158"/>
        </w:rPr>
        <w:t>him</w:t>
      </w:r>
      <w:r>
        <w:rPr>
          <w:color w:val="6E6158"/>
          <w:spacing w:val="14"/>
        </w:rPr>
        <w:t> </w:t>
      </w:r>
      <w:r>
        <w:rPr>
          <w:color w:val="6E6158"/>
        </w:rPr>
        <w:t>valuable</w:t>
      </w:r>
      <w:r>
        <w:rPr>
          <w:color w:val="6E6158"/>
          <w:spacing w:val="15"/>
        </w:rPr>
        <w:t> </w:t>
      </w:r>
      <w:r>
        <w:rPr>
          <w:color w:val="6E6158"/>
        </w:rPr>
        <w:t>insight</w:t>
      </w:r>
      <w:r>
        <w:rPr>
          <w:color w:val="6E6158"/>
          <w:spacing w:val="15"/>
        </w:rPr>
        <w:t> </w:t>
      </w:r>
      <w:r>
        <w:rPr>
          <w:color w:val="6E6158"/>
        </w:rPr>
        <w:t>into</w:t>
      </w:r>
      <w:r>
        <w:rPr>
          <w:color w:val="6E6158"/>
          <w:spacing w:val="14"/>
        </w:rPr>
        <w:t> </w:t>
      </w:r>
      <w:r>
        <w:rPr>
          <w:color w:val="6E6158"/>
        </w:rPr>
        <w:t>judicial</w:t>
      </w:r>
      <w:r>
        <w:rPr>
          <w:color w:val="6E6158"/>
          <w:spacing w:val="15"/>
        </w:rPr>
        <w:t> </w:t>
      </w:r>
      <w:r>
        <w:rPr>
          <w:color w:val="6E6158"/>
        </w:rPr>
        <w:t>decision-making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effective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advocacy.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03" w:lineRule="auto"/>
        <w:ind w:left="343" w:right="5458" w:hanging="245"/>
      </w:pPr>
      <w:r>
        <w:rPr>
          <w:color w:val="6E6158"/>
        </w:rPr>
        <w:t>J.D., Santa Clara University School of </w:t>
      </w:r>
      <w:r>
        <w:rPr>
          <w:color w:val="6E6158"/>
        </w:rPr>
        <w:t>Law</w:t>
      </w:r>
      <w:r>
        <w:rPr>
          <w:color w:val="6E6158"/>
        </w:rPr>
        <w:t> High Tech Law Certificate</w:t>
      </w:r>
    </w:p>
    <w:p>
      <w:pPr>
        <w:pStyle w:val="BodyText"/>
        <w:spacing w:before="15"/>
        <w:ind w:left="343"/>
      </w:pPr>
      <w:r>
        <w:rPr>
          <w:color w:val="6E6158"/>
        </w:rPr>
        <w:t>Associate</w:t>
      </w:r>
      <w:r>
        <w:rPr>
          <w:color w:val="6E6158"/>
          <w:spacing w:val="11"/>
        </w:rPr>
        <w:t> </w:t>
      </w:r>
      <w:r>
        <w:rPr>
          <w:color w:val="6E6158"/>
        </w:rPr>
        <w:t>Development</w:t>
      </w:r>
      <w:r>
        <w:rPr>
          <w:color w:val="6E6158"/>
          <w:spacing w:val="11"/>
        </w:rPr>
        <w:t> </w:t>
      </w:r>
      <w:r>
        <w:rPr>
          <w:color w:val="6E6158"/>
        </w:rPr>
        <w:t>Editor,</w:t>
      </w:r>
      <w:r>
        <w:rPr>
          <w:color w:val="6E6158"/>
          <w:spacing w:val="11"/>
        </w:rPr>
        <w:t> </w:t>
      </w:r>
      <w:r>
        <w:rPr>
          <w:color w:val="6E6158"/>
        </w:rPr>
        <w:t>High</w:t>
      </w:r>
      <w:r>
        <w:rPr>
          <w:color w:val="6E6158"/>
          <w:spacing w:val="11"/>
        </w:rPr>
        <w:t> </w:t>
      </w:r>
      <w:r>
        <w:rPr>
          <w:color w:val="6E6158"/>
        </w:rPr>
        <w:t>Technology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Journal</w:t>
      </w:r>
    </w:p>
    <w:p>
      <w:pPr>
        <w:pStyle w:val="BodyText"/>
        <w:spacing w:line="420" w:lineRule="auto" w:before="174"/>
        <w:ind w:left="343" w:right="2597"/>
      </w:pPr>
      <w:r>
        <w:rPr>
          <w:color w:val="6E6158"/>
        </w:rPr>
        <w:t>AIPLA Giles Sutherland Rich Memorial Patent Moot Court </w:t>
      </w:r>
      <w:r>
        <w:rPr>
          <w:color w:val="6E6158"/>
        </w:rPr>
        <w:t>Competition INTA Saul Lefkowitz Trademark Moot Court Competition</w:t>
      </w:r>
    </w:p>
    <w:p>
      <w:pPr>
        <w:pStyle w:val="BodyText"/>
        <w:spacing w:before="7"/>
      </w:pPr>
      <w:r>
        <w:rPr>
          <w:color w:val="6E6158"/>
        </w:rPr>
        <w:t>B.S.,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Ohio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43"/>
      </w:pPr>
      <w:r>
        <w:rPr>
          <w:color w:val="6E6158"/>
        </w:rPr>
        <w:t>Double</w:t>
      </w:r>
      <w:r>
        <w:rPr>
          <w:color w:val="6E6158"/>
          <w:spacing w:val="14"/>
        </w:rPr>
        <w:t> </w:t>
      </w:r>
      <w:r>
        <w:rPr>
          <w:color w:val="6E6158"/>
        </w:rPr>
        <w:t>Majored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Chemical</w:t>
      </w:r>
      <w:r>
        <w:rPr>
          <w:color w:val="6E6158"/>
          <w:spacing w:val="14"/>
        </w:rPr>
        <w:t> </w:t>
      </w:r>
      <w:r>
        <w:rPr>
          <w:color w:val="6E6158"/>
        </w:rPr>
        <w:t>Engineering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Economics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7" w:lineRule="auto"/>
        <w:ind w:right="727"/>
      </w:pPr>
      <w:r>
        <w:rPr>
          <w:color w:val="6E6158"/>
        </w:rPr>
        <w:t>Secured early dismissals of multimillion-dollar commercial fraud lawsuits against a Fortune 500</w:t>
      </w:r>
      <w:r>
        <w:rPr>
          <w:color w:val="6E6158"/>
          <w:spacing w:val="40"/>
        </w:rPr>
        <w:t> </w:t>
      </w:r>
      <w:r>
        <w:rPr>
          <w:color w:val="6E6158"/>
        </w:rPr>
        <w:t>company arising from the manufacture, marketing, and sale of products; eliminating the </w:t>
      </w:r>
      <w:r>
        <w:rPr>
          <w:color w:val="6E6158"/>
        </w:rPr>
        <w:t>client’s</w:t>
      </w:r>
      <w:r>
        <w:rPr>
          <w:color w:val="6E6158"/>
          <w:spacing w:val="40"/>
        </w:rPr>
        <w:t> </w:t>
      </w:r>
      <w:r>
        <w:rPr>
          <w:color w:val="6E6158"/>
        </w:rPr>
        <w:t>exposure to financial and litigation risk.</w:t>
      </w:r>
    </w:p>
    <w:p>
      <w:pPr>
        <w:pStyle w:val="BodyText"/>
        <w:spacing w:line="297" w:lineRule="auto" w:before="118"/>
        <w:ind w:right="727"/>
      </w:pPr>
      <w:r>
        <w:rPr>
          <w:color w:val="6E6158"/>
        </w:rPr>
        <w:t>Successfully defeated a motion for summary judgment in a defamation lawsuit involving</w:t>
      </w:r>
      <w:r>
        <w:rPr>
          <w:color w:val="6E6158"/>
          <w:spacing w:val="40"/>
        </w:rPr>
        <w:t> </w:t>
      </w:r>
      <w:r>
        <w:rPr>
          <w:color w:val="6E6158"/>
        </w:rPr>
        <w:t>allegations of investment fraud, insider trading, and financial misconduct, positioning the </w:t>
      </w:r>
      <w:r>
        <w:rPr>
          <w:color w:val="6E6158"/>
        </w:rPr>
        <w:t>case</w:t>
      </w:r>
      <w:r>
        <w:rPr>
          <w:color w:val="6E6158"/>
          <w:spacing w:val="40"/>
        </w:rPr>
        <w:t> </w:t>
      </w:r>
      <w:r>
        <w:rPr>
          <w:color w:val="6E6158"/>
        </w:rPr>
        <w:t>for a favorable resolution on behalf of the client.</w:t>
      </w:r>
    </w:p>
    <w:p>
      <w:pPr>
        <w:pStyle w:val="BodyText"/>
        <w:spacing w:before="107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077"/>
      </w:pPr>
      <w:r>
        <w:rPr>
          <w:color w:val="6E6158"/>
        </w:rPr>
        <w:t>Business Litigation Intellectual </w:t>
      </w:r>
      <w:r>
        <w:rPr>
          <w:color w:val="6E6158"/>
        </w:rPr>
        <w:t>Property Business &amp; Finance</w:t>
      </w:r>
    </w:p>
    <w:p>
      <w:pPr>
        <w:pStyle w:val="BodyText"/>
        <w:spacing w:line="232" w:lineRule="exact"/>
      </w:pP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Relations</w:t>
      </w:r>
      <w:r>
        <w:rPr>
          <w:color w:val="6E6158"/>
          <w:spacing w:val="17"/>
        </w:rPr>
        <w:t> </w:t>
      </w:r>
      <w:r>
        <w:rPr>
          <w:color w:val="6E6158"/>
        </w:rPr>
        <w:t>&amp;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Regulatory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3468"/>
      </w:pPr>
      <w:r>
        <w:rPr>
          <w:color w:val="6E6158"/>
        </w:rPr>
        <w:t>Recipient of the Santa Clara School of Law Dean’s </w:t>
      </w:r>
      <w:r>
        <w:rPr>
          <w:color w:val="6E6158"/>
        </w:rPr>
        <w:t>Fellowship Witkin Award for Academic Excellence – Constitutional Law I</w:t>
      </w:r>
    </w:p>
    <w:p>
      <w:pPr>
        <w:pStyle w:val="Heading1"/>
        <w:spacing w:before="29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472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Auris Health, Inc. V. Intuitive Surgical Operations: A New “Rigid Rule” for Patent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Obviousness</w:t>
        </w:r>
      </w:hyperlink>
      <w:r>
        <w:rPr>
          <w:color w:val="6E6158"/>
        </w:rPr>
        <w:t>,” Santa Clara High Technology Law Journal, August 8, 2022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82"/>
        <w:ind w:right="3468"/>
      </w:pPr>
      <w:r>
        <w:rPr>
          <w:color w:val="6E6158"/>
        </w:rPr>
        <w:t>United States District Court for the Central District of California United States District Court for the Southern District of </w:t>
      </w:r>
      <w:r>
        <w:rPr>
          <w:color w:val="6E6158"/>
        </w:rPr>
        <w:t>California United States District Court for the Eastern District of 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jmoawad@fennemorelaw.com" TargetMode="External"/><Relationship Id="rId11" Type="http://schemas.openxmlformats.org/officeDocument/2006/relationships/hyperlink" Target="https://www.fennemorelaw.com/services/intellectual-property-and-ip-litigation/" TargetMode="External"/><Relationship Id="rId12" Type="http://schemas.openxmlformats.org/officeDocument/2006/relationships/hyperlink" Target="https://digitalcommons.law.scu.edu/chtlj/vol39/iss1/5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N. Moawad - Fennemore</dc:title>
  <dcterms:created xsi:type="dcterms:W3CDTF">2026-07-22T20:30:18Z</dcterms:created>
  <dcterms:modified xsi:type="dcterms:W3CDTF">2026-07-22T20:30:18Z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2026-07-22T00:00:00Z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2026-07-22T00:00:00Z</vt:filetime>
  </property>
  <property fmtid="{D5CDD505-2E9C-101B-9397-08002B2CF9AE}" pid="6" name="Producer">
    <vt:lpwstr>Skia/PDF m150</vt:lpwstr>
  </property>
</Properties>
</file>