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spacing w:before="162"/>
        <w:rPr>
          <w:rFonts w:ascii="Times New Roman"/>
          <w:sz w:val="24"/>
        </w:rPr>
      </w:pPr>
    </w:p>
    <w:p>
      <w:pPr>
        <w:spacing w:before="0"/>
        <w:ind w:left="99" w:right="0" w:firstLine="0"/>
        <w:jc w:val="left"/>
        <w:rPr>
          <w:b/>
          <w:sz w:val="24"/>
        </w:rPr>
      </w:pPr>
      <w:r>
        <w:rPr>
          <w:b/>
          <w:sz w:val="24"/>
        </w:rPr>
        <mc:AlternateContent>
          <mc:Choice Requires="wps">
            <w:drawing>
              <wp:anchor distT="0" distB="0" distL="0" distR="0" allowOverlap="1" layoutInCell="1" locked="0" behindDoc="1" simplePos="0" relativeHeight="487495680">
                <wp:simplePos x="0" y="0"/>
                <wp:positionH relativeFrom="page">
                  <wp:posOffset>848486</wp:posOffset>
                </wp:positionH>
                <wp:positionV relativeFrom="paragraph">
                  <wp:posOffset>-4662418</wp:posOffset>
                </wp:positionV>
                <wp:extent cx="6071870" cy="474599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745990"/>
                          <a:chExt cx="6071870" cy="4745990"/>
                        </a:xfrm>
                      </wpg:grpSpPr>
                      <wps:wsp>
                        <wps:cNvPr id="2" name="Graphic 2"/>
                        <wps:cNvSpPr/>
                        <wps:spPr>
                          <a:xfrm>
                            <a:off x="0" y="3095219"/>
                            <a:ext cx="6071870" cy="1498600"/>
                          </a:xfrm>
                          <a:custGeom>
                            <a:avLst/>
                            <a:gdLst/>
                            <a:ahLst/>
                            <a:cxnLst/>
                            <a:rect l="l" t="t" r="r" b="b"/>
                            <a:pathLst>
                              <a:path w="6071870" h="1498600">
                                <a:moveTo>
                                  <a:pt x="6071591" y="1498520"/>
                                </a:moveTo>
                                <a:lnTo>
                                  <a:pt x="0" y="1498520"/>
                                </a:lnTo>
                                <a:lnTo>
                                  <a:pt x="0" y="0"/>
                                </a:lnTo>
                                <a:lnTo>
                                  <a:pt x="6071591" y="0"/>
                                </a:lnTo>
                                <a:lnTo>
                                  <a:pt x="6071591" y="1498520"/>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Mario Vasta 5635website"/>
                          <pic:cNvPicPr/>
                        </pic:nvPicPr>
                        <pic:blipFill>
                          <a:blip r:embed="rId7" cstate="print"/>
                          <a:stretch>
                            <a:fillRect/>
                          </a:stretch>
                        </pic:blipFill>
                        <pic:spPr>
                          <a:xfrm>
                            <a:off x="0" y="268700"/>
                            <a:ext cx="3038379" cy="2826519"/>
                          </a:xfrm>
                          <a:prstGeom prst="rect">
                            <a:avLst/>
                          </a:prstGeom>
                        </pic:spPr>
                      </pic:pic>
                      <wps:wsp>
                        <wps:cNvPr id="5" name="Graphic 5"/>
                        <wps:cNvSpPr/>
                        <wps:spPr>
                          <a:xfrm>
                            <a:off x="3038379" y="268700"/>
                            <a:ext cx="3033395" cy="2827020"/>
                          </a:xfrm>
                          <a:custGeom>
                            <a:avLst/>
                            <a:gdLst/>
                            <a:ahLst/>
                            <a:cxnLst/>
                            <a:rect l="l" t="t" r="r" b="b"/>
                            <a:pathLst>
                              <a:path w="3033395" h="2827020">
                                <a:moveTo>
                                  <a:pt x="3033212" y="2826519"/>
                                </a:moveTo>
                                <a:lnTo>
                                  <a:pt x="0" y="2826519"/>
                                </a:lnTo>
                                <a:lnTo>
                                  <a:pt x="0" y="0"/>
                                </a:lnTo>
                                <a:lnTo>
                                  <a:pt x="3033212" y="0"/>
                                </a:lnTo>
                                <a:lnTo>
                                  <a:pt x="3033212" y="2826519"/>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570605" y="1576031"/>
                            <a:ext cx="1964055" cy="320675"/>
                          </a:xfrm>
                          <a:custGeom>
                            <a:avLst/>
                            <a:gdLst/>
                            <a:ahLst/>
                            <a:cxnLst/>
                            <a:rect l="l" t="t" r="r" b="b"/>
                            <a:pathLst>
                              <a:path w="1964055" h="320675">
                                <a:moveTo>
                                  <a:pt x="1963585" y="315214"/>
                                </a:moveTo>
                                <a:lnTo>
                                  <a:pt x="0" y="315214"/>
                                </a:lnTo>
                                <a:lnTo>
                                  <a:pt x="0" y="320382"/>
                                </a:lnTo>
                                <a:lnTo>
                                  <a:pt x="1963585" y="320382"/>
                                </a:lnTo>
                                <a:lnTo>
                                  <a:pt x="1963585" y="315214"/>
                                </a:lnTo>
                                <a:close/>
                              </a:path>
                              <a:path w="1964055" h="320675">
                                <a:moveTo>
                                  <a:pt x="1963585" y="0"/>
                                </a:moveTo>
                                <a:lnTo>
                                  <a:pt x="0" y="0"/>
                                </a:lnTo>
                                <a:lnTo>
                                  <a:pt x="0" y="5168"/>
                                </a:lnTo>
                                <a:lnTo>
                                  <a:pt x="1963585" y="5168"/>
                                </a:lnTo>
                                <a:lnTo>
                                  <a:pt x="1963585"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573115" y="763308"/>
                            <a:ext cx="1974214" cy="1031875"/>
                          </a:xfrm>
                          <a:prstGeom prst="rect">
                            <a:avLst/>
                          </a:prstGeom>
                        </wps:spPr>
                        <wps:txbx>
                          <w:txbxContent>
                            <w:p>
                              <w:pPr>
                                <w:spacing w:before="0"/>
                                <w:ind w:left="-1" w:right="18" w:firstLine="0"/>
                                <w:jc w:val="center"/>
                                <w:rPr>
                                  <w:sz w:val="39"/>
                                </w:rPr>
                              </w:pPr>
                              <w:r>
                                <w:rPr>
                                  <w:color w:val="FFFFFF"/>
                                  <w:sz w:val="39"/>
                                </w:rPr>
                                <w:t>MARIO</w:t>
                              </w:r>
                              <w:r>
                                <w:rPr>
                                  <w:color w:val="FFFFFF"/>
                                  <w:spacing w:val="-2"/>
                                  <w:sz w:val="39"/>
                                </w:rPr>
                                <w:t> </w:t>
                              </w:r>
                              <w:r>
                                <w:rPr>
                                  <w:color w:val="FFFFFF"/>
                                  <w:sz w:val="39"/>
                                </w:rPr>
                                <w:t>C. </w:t>
                              </w:r>
                              <w:r>
                                <w:rPr>
                                  <w:color w:val="FFFFFF"/>
                                  <w:spacing w:val="-18"/>
                                  <w:sz w:val="39"/>
                                </w:rPr>
                                <w:t>VASTA</w:t>
                              </w:r>
                            </w:p>
                            <w:p>
                              <w:pPr>
                                <w:spacing w:before="55"/>
                                <w:ind w:left="0" w:right="18" w:firstLine="0"/>
                                <w:jc w:val="center"/>
                                <w:rPr>
                                  <w:sz w:val="16"/>
                                </w:rPr>
                              </w:pPr>
                              <w:r>
                                <w:rPr>
                                  <w:color w:val="FFFFFF"/>
                                  <w:sz w:val="16"/>
                                </w:rPr>
                                <w:t>Pronouns:</w:t>
                              </w:r>
                              <w:r>
                                <w:rPr>
                                  <w:color w:val="FFFFFF"/>
                                  <w:spacing w:val="6"/>
                                  <w:sz w:val="16"/>
                                </w:rPr>
                                <w:t> </w:t>
                              </w:r>
                              <w:r>
                                <w:rPr>
                                  <w:color w:val="FFFFFF"/>
                                  <w:spacing w:val="-2"/>
                                  <w:sz w:val="16"/>
                                </w:rPr>
                                <w:t>he/him</w:t>
                              </w:r>
                            </w:p>
                            <w:p>
                              <w:pPr>
                                <w:spacing w:before="114"/>
                                <w:ind w:left="0" w:right="18" w:firstLine="0"/>
                                <w:jc w:val="center"/>
                                <w:rPr>
                                  <w:sz w:val="24"/>
                                </w:rPr>
                              </w:pPr>
                              <w:r>
                                <w:rPr>
                                  <w:color w:val="FFFFFF"/>
                                  <w:spacing w:val="-2"/>
                                  <w:sz w:val="24"/>
                                </w:rPr>
                                <w:t>Director</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357497" y="2066319"/>
                            <a:ext cx="405130" cy="127000"/>
                          </a:xfrm>
                          <a:prstGeom prst="rect">
                            <a:avLst/>
                          </a:prstGeom>
                        </wps:spPr>
                        <wps:txbx>
                          <w:txbxContent>
                            <w:p>
                              <w:pPr>
                                <w:spacing w:before="2"/>
                                <w:ind w:left="0" w:right="0" w:firstLine="0"/>
                                <w:jc w:val="left"/>
                                <w:rPr>
                                  <w:sz w:val="16"/>
                                </w:rPr>
                              </w:pPr>
                              <w:hyperlink r:id="rId9">
                                <w:r>
                                  <w:rPr>
                                    <w:color w:val="FFFFFF"/>
                                    <w:spacing w:val="-2"/>
                                    <w:sz w:val="16"/>
                                  </w:rPr>
                                  <w:t>Phoenix</w:t>
                                </w:r>
                              </w:hyperlink>
                            </w:p>
                          </w:txbxContent>
                        </wps:txbx>
                        <wps:bodyPr wrap="square" lIns="0" tIns="0" rIns="0" bIns="0" rtlCol="0">
                          <a:noAutofit/>
                        </wps:bodyPr>
                      </wps:wsp>
                      <wps:wsp>
                        <wps:cNvPr id="9" name="Textbox 9"/>
                        <wps:cNvSpPr txBox="1"/>
                        <wps:spPr>
                          <a:xfrm>
                            <a:off x="3621720" y="2226475"/>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602.916.5302</w:t>
                              </w:r>
                            </w:p>
                          </w:txbxContent>
                        </wps:txbx>
                        <wps:bodyPr wrap="square" lIns="0" tIns="0" rIns="0" bIns="0" rtlCol="0">
                          <a:noAutofit/>
                        </wps:bodyPr>
                      </wps:wsp>
                      <wps:wsp>
                        <wps:cNvPr id="10" name="Textbox 10"/>
                        <wps:cNvSpPr txBox="1"/>
                        <wps:spPr>
                          <a:xfrm>
                            <a:off x="4711458" y="2226475"/>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602.916.5999</w:t>
                              </w:r>
                            </w:p>
                          </w:txbxContent>
                        </wps:txbx>
                        <wps:bodyPr wrap="square" lIns="0" tIns="0" rIns="0" bIns="0" rtlCol="0">
                          <a:noAutofit/>
                        </wps:bodyPr>
                      </wps:wsp>
                      <wps:wsp>
                        <wps:cNvPr id="11" name="Textbox 11"/>
                        <wps:cNvSpPr txBox="1"/>
                        <wps:spPr>
                          <a:xfrm>
                            <a:off x="3827283" y="2433198"/>
                            <a:ext cx="1465580" cy="127000"/>
                          </a:xfrm>
                          <a:prstGeom prst="rect">
                            <a:avLst/>
                          </a:prstGeom>
                        </wps:spPr>
                        <wps:txbx>
                          <w:txbxContent>
                            <w:p>
                              <w:pPr>
                                <w:spacing w:before="2"/>
                                <w:ind w:left="0" w:right="0" w:firstLine="0"/>
                                <w:jc w:val="left"/>
                                <w:rPr>
                                  <w:sz w:val="16"/>
                                </w:rPr>
                              </w:pPr>
                              <w:hyperlink r:id="rId10">
                                <w:r>
                                  <w:rPr>
                                    <w:color w:val="FFFFFF"/>
                                    <w:spacing w:val="-2"/>
                                    <w:sz w:val="16"/>
                                  </w:rPr>
                                  <w:t>mvasta@fennemorelaw.com</w:t>
                                </w:r>
                              </w:hyperlink>
                            </w:p>
                          </w:txbxContent>
                        </wps:txbx>
                        <wps:bodyPr wrap="square" lIns="0" tIns="0" rIns="0" bIns="0" rtlCol="0">
                          <a:noAutofit/>
                        </wps:bodyPr>
                      </wps:wsp>
                      <wps:wsp>
                        <wps:cNvPr id="12" name="Textbox 12"/>
                        <wps:cNvSpPr txBox="1"/>
                        <wps:spPr>
                          <a:xfrm>
                            <a:off x="769929" y="3611698"/>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273903" y="3688855"/>
                            <a:ext cx="3540125" cy="488950"/>
                          </a:xfrm>
                          <a:prstGeom prst="rect">
                            <a:avLst/>
                          </a:prstGeom>
                        </wps:spPr>
                        <wps:txbx>
                          <w:txbxContent>
                            <w:p>
                              <w:pPr>
                                <w:spacing w:line="348" w:lineRule="auto" w:before="2"/>
                                <w:ind w:left="0" w:right="18" w:firstLine="0"/>
                                <w:jc w:val="center"/>
                                <w:rPr>
                                  <w:sz w:val="16"/>
                                </w:rPr>
                              </w:pPr>
                              <w:r>
                                <w:rPr>
                                  <w:color w:val="FFFFFF"/>
                                  <w:spacing w:val="-4"/>
                                  <w:sz w:val="16"/>
                                </w:rPr>
                                <w:t>The</w:t>
                              </w:r>
                              <w:r>
                                <w:rPr>
                                  <w:color w:val="FFFFFF"/>
                                  <w:spacing w:val="-8"/>
                                  <w:sz w:val="16"/>
                                </w:rPr>
                                <w:t> </w:t>
                              </w:r>
                              <w:r>
                                <w:rPr>
                                  <w:color w:val="FFFFFF"/>
                                  <w:spacing w:val="-4"/>
                                  <w:sz w:val="16"/>
                                </w:rPr>
                                <w:t>cure</w:t>
                              </w:r>
                              <w:r>
                                <w:rPr>
                                  <w:color w:val="FFFFFF"/>
                                  <w:spacing w:val="-8"/>
                                  <w:sz w:val="16"/>
                                </w:rPr>
                                <w:t> </w:t>
                              </w:r>
                              <w:r>
                                <w:rPr>
                                  <w:color w:val="FFFFFF"/>
                                  <w:spacing w:val="-4"/>
                                  <w:sz w:val="16"/>
                                </w:rPr>
                                <w:t>for</w:t>
                              </w:r>
                              <w:r>
                                <w:rPr>
                                  <w:color w:val="FFFFFF"/>
                                  <w:spacing w:val="-8"/>
                                  <w:sz w:val="16"/>
                                </w:rPr>
                                <w:t> </w:t>
                              </w:r>
                              <w:r>
                                <w:rPr>
                                  <w:color w:val="FFFFFF"/>
                                  <w:spacing w:val="-4"/>
                                  <w:sz w:val="16"/>
                                </w:rPr>
                                <w:t>a</w:t>
                              </w:r>
                              <w:r>
                                <w:rPr>
                                  <w:color w:val="FFFFFF"/>
                                  <w:spacing w:val="-8"/>
                                  <w:sz w:val="16"/>
                                </w:rPr>
                                <w:t> </w:t>
                              </w:r>
                              <w:r>
                                <w:rPr>
                                  <w:color w:val="FFFFFF"/>
                                  <w:spacing w:val="-4"/>
                                  <w:sz w:val="16"/>
                                </w:rPr>
                                <w:t>fallacious</w:t>
                              </w:r>
                              <w:r>
                                <w:rPr>
                                  <w:color w:val="FFFFFF"/>
                                  <w:spacing w:val="-8"/>
                                  <w:sz w:val="16"/>
                                </w:rPr>
                                <w:t> </w:t>
                              </w:r>
                              <w:r>
                                <w:rPr>
                                  <w:color w:val="FFFFFF"/>
                                  <w:spacing w:val="-4"/>
                                  <w:sz w:val="16"/>
                                </w:rPr>
                                <w:t>argument</w:t>
                              </w:r>
                              <w:r>
                                <w:rPr>
                                  <w:color w:val="FFFFFF"/>
                                  <w:spacing w:val="-8"/>
                                  <w:sz w:val="16"/>
                                </w:rPr>
                                <w:t> </w:t>
                              </w:r>
                              <w:r>
                                <w:rPr>
                                  <w:color w:val="FFFFFF"/>
                                  <w:spacing w:val="-4"/>
                                  <w:sz w:val="16"/>
                                </w:rPr>
                                <w:t>is</w:t>
                              </w:r>
                              <w:r>
                                <w:rPr>
                                  <w:color w:val="FFFFFF"/>
                                  <w:spacing w:val="-8"/>
                                  <w:sz w:val="16"/>
                                </w:rPr>
                                <w:t> </w:t>
                              </w:r>
                              <w:r>
                                <w:rPr>
                                  <w:color w:val="FFFFFF"/>
                                  <w:spacing w:val="-4"/>
                                  <w:sz w:val="16"/>
                                </w:rPr>
                                <w:t>a</w:t>
                              </w:r>
                              <w:r>
                                <w:rPr>
                                  <w:color w:val="FFFFFF"/>
                                  <w:spacing w:val="-8"/>
                                  <w:sz w:val="16"/>
                                </w:rPr>
                                <w:t> </w:t>
                              </w:r>
                              <w:r>
                                <w:rPr>
                                  <w:color w:val="FFFFFF"/>
                                  <w:spacing w:val="-4"/>
                                  <w:sz w:val="16"/>
                                </w:rPr>
                                <w:t>better</w:t>
                              </w:r>
                              <w:r>
                                <w:rPr>
                                  <w:color w:val="FFFFFF"/>
                                  <w:spacing w:val="-8"/>
                                  <w:sz w:val="16"/>
                                </w:rPr>
                                <w:t> </w:t>
                              </w:r>
                              <w:r>
                                <w:rPr>
                                  <w:color w:val="FFFFFF"/>
                                  <w:spacing w:val="-4"/>
                                  <w:sz w:val="16"/>
                                </w:rPr>
                                <w:t>argument,</w:t>
                              </w:r>
                              <w:r>
                                <w:rPr>
                                  <w:color w:val="FFFFFF"/>
                                  <w:spacing w:val="-8"/>
                                  <w:sz w:val="16"/>
                                </w:rPr>
                                <w:t> </w:t>
                              </w:r>
                              <w:r>
                                <w:rPr>
                                  <w:color w:val="FFFFFF"/>
                                  <w:spacing w:val="-4"/>
                                  <w:sz w:val="16"/>
                                </w:rPr>
                                <w:t>not</w:t>
                              </w:r>
                              <w:r>
                                <w:rPr>
                                  <w:color w:val="FFFFFF"/>
                                  <w:spacing w:val="-8"/>
                                  <w:sz w:val="16"/>
                                </w:rPr>
                                <w:t> </w:t>
                              </w:r>
                              <w:r>
                                <w:rPr>
                                  <w:color w:val="FFFFFF"/>
                                  <w:spacing w:val="-4"/>
                                  <w:sz w:val="16"/>
                                </w:rPr>
                                <w:t>the</w:t>
                              </w:r>
                              <w:r>
                                <w:rPr>
                                  <w:color w:val="FFFFFF"/>
                                  <w:spacing w:val="-8"/>
                                  <w:sz w:val="16"/>
                                </w:rPr>
                                <w:t> </w:t>
                              </w:r>
                              <w:r>
                                <w:rPr>
                                  <w:color w:val="FFFFFF"/>
                                  <w:spacing w:val="-4"/>
                                  <w:sz w:val="16"/>
                                </w:rPr>
                                <w:t>suppression </w:t>
                              </w:r>
                              <w:r>
                                <w:rPr>
                                  <w:color w:val="FFFFFF"/>
                                  <w:sz w:val="16"/>
                                </w:rPr>
                                <w:t>of</w:t>
                              </w:r>
                              <w:r>
                                <w:rPr>
                                  <w:color w:val="FFFFFF"/>
                                  <w:spacing w:val="-12"/>
                                  <w:sz w:val="16"/>
                                </w:rPr>
                                <w:t> </w:t>
                              </w:r>
                              <w:r>
                                <w:rPr>
                                  <w:color w:val="FFFFFF"/>
                                  <w:sz w:val="16"/>
                                </w:rPr>
                                <w:t>ideas.</w:t>
                              </w:r>
                            </w:p>
                            <w:p>
                              <w:pPr>
                                <w:spacing w:before="1"/>
                                <w:ind w:left="0" w:right="18" w:firstLine="0"/>
                                <w:jc w:val="center"/>
                                <w:rPr>
                                  <w:sz w:val="16"/>
                                </w:rPr>
                              </w:pPr>
                              <w:r>
                                <w:rPr>
                                  <w:color w:val="FFFFFF"/>
                                  <w:spacing w:val="-5"/>
                                  <w:sz w:val="16"/>
                                </w:rPr>
                                <w:t>Carl </w:t>
                              </w:r>
                              <w:r>
                                <w:rPr>
                                  <w:color w:val="FFFFFF"/>
                                  <w:spacing w:val="-2"/>
                                  <w:sz w:val="16"/>
                                </w:rPr>
                                <w:t>Sagan</w:t>
                              </w:r>
                            </w:p>
                          </w:txbxContent>
                        </wps:txbx>
                        <wps:bodyPr wrap="square" lIns="0" tIns="0" rIns="0" bIns="0" rtlCol="0">
                          <a:noAutofit/>
                        </wps:bodyPr>
                      </wps:wsp>
                      <wps:wsp>
                        <wps:cNvPr id="14" name="Textbox 14"/>
                        <wps:cNvSpPr txBox="1"/>
                        <wps:spPr>
                          <a:xfrm>
                            <a:off x="4857434" y="3611698"/>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67.119537pt;width:478.1pt;height:373.7pt;mso-position-horizontal-relative:page;mso-position-vertical-relative:paragraph;z-index:-15820800" id="docshapegroup1" coordorigin="1336,-7342" coordsize="9562,7474">
                <v:rect style="position:absolute;left:1336;top:-2469;width:9562;height:2360" id="docshape2" filled="true" fillcolor="#002e6d" stroked="false">
                  <v:fill type="solid"/>
                </v:rect>
                <v:shape style="position:absolute;left:1336;top:-7343;width:2165;height:424" type="#_x0000_t75" id="docshape3" alt="Fennemore" href="https://www.fennemorelaw.com/" stroked="false">
                  <v:imagedata r:id="rId5" o:title=""/>
                </v:shape>
                <v:shape style="position:absolute;left:1336;top:-6920;width:4785;height:4452" type="#_x0000_t75" id="docshape4" alt="Mario Vasta 5635website" stroked="false">
                  <v:imagedata r:id="rId7" o:title=""/>
                </v:shape>
                <v:rect style="position:absolute;left:6121;top:-6920;width:4777;height:4452" id="docshape5" filled="true" fillcolor="#262424" stroked="false">
                  <v:fill type="solid"/>
                </v:rect>
                <v:shape style="position:absolute;left:6959;top:-4861;width:3093;height:505" id="docshape6" coordorigin="6959,-4860" coordsize="3093,505" path="m10051,-4364l6959,-4364,6959,-4356,10051,-4356,10051,-4364xm10051,-4860l6959,-4860,6959,-4852,10051,-4852,10051,-4860xe" filled="true" fillcolor="#ffffff" stroked="false">
                  <v:path arrowok="t"/>
                  <v:fill type="solid"/>
                </v:shape>
                <v:shapetype id="_x0000_t202" o:spt="202" coordsize="21600,21600" path="m,l,21600r21600,l21600,xe">
                  <v:stroke joinstyle="miter"/>
                  <v:path gradientshapeok="t" o:connecttype="rect"/>
                </v:shapetype>
                <v:shape style="position:absolute;left:6963;top:-6141;width:3109;height:1625" type="#_x0000_t202" id="docshape7" filled="false" stroked="false">
                  <v:textbox inset="0,0,0,0">
                    <w:txbxContent>
                      <w:p>
                        <w:pPr>
                          <w:spacing w:before="0"/>
                          <w:ind w:left="-1" w:right="18" w:firstLine="0"/>
                          <w:jc w:val="center"/>
                          <w:rPr>
                            <w:sz w:val="39"/>
                          </w:rPr>
                        </w:pPr>
                        <w:r>
                          <w:rPr>
                            <w:color w:val="FFFFFF"/>
                            <w:sz w:val="39"/>
                          </w:rPr>
                          <w:t>MARIO</w:t>
                        </w:r>
                        <w:r>
                          <w:rPr>
                            <w:color w:val="FFFFFF"/>
                            <w:spacing w:val="-2"/>
                            <w:sz w:val="39"/>
                          </w:rPr>
                          <w:t> </w:t>
                        </w:r>
                        <w:r>
                          <w:rPr>
                            <w:color w:val="FFFFFF"/>
                            <w:sz w:val="39"/>
                          </w:rPr>
                          <w:t>C. </w:t>
                        </w:r>
                        <w:r>
                          <w:rPr>
                            <w:color w:val="FFFFFF"/>
                            <w:spacing w:val="-18"/>
                            <w:sz w:val="39"/>
                          </w:rPr>
                          <w:t>VASTA</w:t>
                        </w:r>
                      </w:p>
                      <w:p>
                        <w:pPr>
                          <w:spacing w:before="55"/>
                          <w:ind w:left="0" w:right="18" w:firstLine="0"/>
                          <w:jc w:val="center"/>
                          <w:rPr>
                            <w:sz w:val="16"/>
                          </w:rPr>
                        </w:pPr>
                        <w:r>
                          <w:rPr>
                            <w:color w:val="FFFFFF"/>
                            <w:sz w:val="16"/>
                          </w:rPr>
                          <w:t>Pronouns:</w:t>
                        </w:r>
                        <w:r>
                          <w:rPr>
                            <w:color w:val="FFFFFF"/>
                            <w:spacing w:val="6"/>
                            <w:sz w:val="16"/>
                          </w:rPr>
                          <w:t> </w:t>
                        </w:r>
                        <w:r>
                          <w:rPr>
                            <w:color w:val="FFFFFF"/>
                            <w:spacing w:val="-2"/>
                            <w:sz w:val="16"/>
                          </w:rPr>
                          <w:t>he/him</w:t>
                        </w:r>
                      </w:p>
                      <w:p>
                        <w:pPr>
                          <w:spacing w:before="114"/>
                          <w:ind w:left="0" w:right="18" w:firstLine="0"/>
                          <w:jc w:val="center"/>
                          <w:rPr>
                            <w:sz w:val="24"/>
                          </w:rPr>
                        </w:pPr>
                        <w:r>
                          <w:rPr>
                            <w:color w:val="FFFFFF"/>
                            <w:spacing w:val="-2"/>
                            <w:sz w:val="24"/>
                          </w:rPr>
                          <w:t>Director</w:t>
                        </w:r>
                      </w:p>
                      <w:p>
                        <w:pPr>
                          <w:spacing w:before="290"/>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198;top:-4089;width:638;height:200" type="#_x0000_t202" id="docshape8" filled="false" stroked="false">
                  <v:textbox inset="0,0,0,0">
                    <w:txbxContent>
                      <w:p>
                        <w:pPr>
                          <w:spacing w:before="2"/>
                          <w:ind w:left="0" w:right="0" w:firstLine="0"/>
                          <w:jc w:val="left"/>
                          <w:rPr>
                            <w:sz w:val="16"/>
                          </w:rPr>
                        </w:pPr>
                        <w:hyperlink r:id="rId9">
                          <w:r>
                            <w:rPr>
                              <w:color w:val="FFFFFF"/>
                              <w:spacing w:val="-2"/>
                              <w:sz w:val="16"/>
                            </w:rPr>
                            <w:t>Phoenix</w:t>
                          </w:r>
                        </w:hyperlink>
                      </w:p>
                    </w:txbxContent>
                  </v:textbox>
                  <w10:wrap type="none"/>
                </v:shape>
                <v:shape style="position:absolute;left:7039;top:-3837;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602.916.5302</w:t>
                        </w:r>
                      </w:p>
                    </w:txbxContent>
                  </v:textbox>
                  <w10:wrap type="none"/>
                </v:shape>
                <v:shape style="position:absolute;left:8755;top:-3837;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602.916.5999</w:t>
                        </w:r>
                      </w:p>
                    </w:txbxContent>
                  </v:textbox>
                  <w10:wrap type="none"/>
                </v:shape>
                <v:shape style="position:absolute;left:7363;top:-3511;width:2308;height:200" type="#_x0000_t202" id="docshape11" filled="false" stroked="false">
                  <v:textbox inset="0,0,0,0">
                    <w:txbxContent>
                      <w:p>
                        <w:pPr>
                          <w:spacing w:before="2"/>
                          <w:ind w:left="0" w:right="0" w:firstLine="0"/>
                          <w:jc w:val="left"/>
                          <w:rPr>
                            <w:sz w:val="16"/>
                          </w:rPr>
                        </w:pPr>
                        <w:hyperlink r:id="rId10">
                          <w:r>
                            <w:rPr>
                              <w:color w:val="FFFFFF"/>
                              <w:spacing w:val="-2"/>
                              <w:sz w:val="16"/>
                            </w:rPr>
                            <w:t>mvasta@fennemorelaw.com</w:t>
                          </w:r>
                        </w:hyperlink>
                      </w:p>
                    </w:txbxContent>
                  </v:textbox>
                  <w10:wrap type="none"/>
                </v:shape>
                <v:shape style="position:absolute;left:2548;top:-1655;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342;top:-1534;width:5575;height:770" type="#_x0000_t202" id="docshape13" filled="false" stroked="false">
                  <v:textbox inset="0,0,0,0">
                    <w:txbxContent>
                      <w:p>
                        <w:pPr>
                          <w:spacing w:line="348" w:lineRule="auto" w:before="2"/>
                          <w:ind w:left="0" w:right="18" w:firstLine="0"/>
                          <w:jc w:val="center"/>
                          <w:rPr>
                            <w:sz w:val="16"/>
                          </w:rPr>
                        </w:pPr>
                        <w:r>
                          <w:rPr>
                            <w:color w:val="FFFFFF"/>
                            <w:spacing w:val="-4"/>
                            <w:sz w:val="16"/>
                          </w:rPr>
                          <w:t>The</w:t>
                        </w:r>
                        <w:r>
                          <w:rPr>
                            <w:color w:val="FFFFFF"/>
                            <w:spacing w:val="-8"/>
                            <w:sz w:val="16"/>
                          </w:rPr>
                          <w:t> </w:t>
                        </w:r>
                        <w:r>
                          <w:rPr>
                            <w:color w:val="FFFFFF"/>
                            <w:spacing w:val="-4"/>
                            <w:sz w:val="16"/>
                          </w:rPr>
                          <w:t>cure</w:t>
                        </w:r>
                        <w:r>
                          <w:rPr>
                            <w:color w:val="FFFFFF"/>
                            <w:spacing w:val="-8"/>
                            <w:sz w:val="16"/>
                          </w:rPr>
                          <w:t> </w:t>
                        </w:r>
                        <w:r>
                          <w:rPr>
                            <w:color w:val="FFFFFF"/>
                            <w:spacing w:val="-4"/>
                            <w:sz w:val="16"/>
                          </w:rPr>
                          <w:t>for</w:t>
                        </w:r>
                        <w:r>
                          <w:rPr>
                            <w:color w:val="FFFFFF"/>
                            <w:spacing w:val="-8"/>
                            <w:sz w:val="16"/>
                          </w:rPr>
                          <w:t> </w:t>
                        </w:r>
                        <w:r>
                          <w:rPr>
                            <w:color w:val="FFFFFF"/>
                            <w:spacing w:val="-4"/>
                            <w:sz w:val="16"/>
                          </w:rPr>
                          <w:t>a</w:t>
                        </w:r>
                        <w:r>
                          <w:rPr>
                            <w:color w:val="FFFFFF"/>
                            <w:spacing w:val="-8"/>
                            <w:sz w:val="16"/>
                          </w:rPr>
                          <w:t> </w:t>
                        </w:r>
                        <w:r>
                          <w:rPr>
                            <w:color w:val="FFFFFF"/>
                            <w:spacing w:val="-4"/>
                            <w:sz w:val="16"/>
                          </w:rPr>
                          <w:t>fallacious</w:t>
                        </w:r>
                        <w:r>
                          <w:rPr>
                            <w:color w:val="FFFFFF"/>
                            <w:spacing w:val="-8"/>
                            <w:sz w:val="16"/>
                          </w:rPr>
                          <w:t> </w:t>
                        </w:r>
                        <w:r>
                          <w:rPr>
                            <w:color w:val="FFFFFF"/>
                            <w:spacing w:val="-4"/>
                            <w:sz w:val="16"/>
                          </w:rPr>
                          <w:t>argument</w:t>
                        </w:r>
                        <w:r>
                          <w:rPr>
                            <w:color w:val="FFFFFF"/>
                            <w:spacing w:val="-8"/>
                            <w:sz w:val="16"/>
                          </w:rPr>
                          <w:t> </w:t>
                        </w:r>
                        <w:r>
                          <w:rPr>
                            <w:color w:val="FFFFFF"/>
                            <w:spacing w:val="-4"/>
                            <w:sz w:val="16"/>
                          </w:rPr>
                          <w:t>is</w:t>
                        </w:r>
                        <w:r>
                          <w:rPr>
                            <w:color w:val="FFFFFF"/>
                            <w:spacing w:val="-8"/>
                            <w:sz w:val="16"/>
                          </w:rPr>
                          <w:t> </w:t>
                        </w:r>
                        <w:r>
                          <w:rPr>
                            <w:color w:val="FFFFFF"/>
                            <w:spacing w:val="-4"/>
                            <w:sz w:val="16"/>
                          </w:rPr>
                          <w:t>a</w:t>
                        </w:r>
                        <w:r>
                          <w:rPr>
                            <w:color w:val="FFFFFF"/>
                            <w:spacing w:val="-8"/>
                            <w:sz w:val="16"/>
                          </w:rPr>
                          <w:t> </w:t>
                        </w:r>
                        <w:r>
                          <w:rPr>
                            <w:color w:val="FFFFFF"/>
                            <w:spacing w:val="-4"/>
                            <w:sz w:val="16"/>
                          </w:rPr>
                          <w:t>better</w:t>
                        </w:r>
                        <w:r>
                          <w:rPr>
                            <w:color w:val="FFFFFF"/>
                            <w:spacing w:val="-8"/>
                            <w:sz w:val="16"/>
                          </w:rPr>
                          <w:t> </w:t>
                        </w:r>
                        <w:r>
                          <w:rPr>
                            <w:color w:val="FFFFFF"/>
                            <w:spacing w:val="-4"/>
                            <w:sz w:val="16"/>
                          </w:rPr>
                          <w:t>argument,</w:t>
                        </w:r>
                        <w:r>
                          <w:rPr>
                            <w:color w:val="FFFFFF"/>
                            <w:spacing w:val="-8"/>
                            <w:sz w:val="16"/>
                          </w:rPr>
                          <w:t> </w:t>
                        </w:r>
                        <w:r>
                          <w:rPr>
                            <w:color w:val="FFFFFF"/>
                            <w:spacing w:val="-4"/>
                            <w:sz w:val="16"/>
                          </w:rPr>
                          <w:t>not</w:t>
                        </w:r>
                        <w:r>
                          <w:rPr>
                            <w:color w:val="FFFFFF"/>
                            <w:spacing w:val="-8"/>
                            <w:sz w:val="16"/>
                          </w:rPr>
                          <w:t> </w:t>
                        </w:r>
                        <w:r>
                          <w:rPr>
                            <w:color w:val="FFFFFF"/>
                            <w:spacing w:val="-4"/>
                            <w:sz w:val="16"/>
                          </w:rPr>
                          <w:t>the</w:t>
                        </w:r>
                        <w:r>
                          <w:rPr>
                            <w:color w:val="FFFFFF"/>
                            <w:spacing w:val="-8"/>
                            <w:sz w:val="16"/>
                          </w:rPr>
                          <w:t> </w:t>
                        </w:r>
                        <w:r>
                          <w:rPr>
                            <w:color w:val="FFFFFF"/>
                            <w:spacing w:val="-4"/>
                            <w:sz w:val="16"/>
                          </w:rPr>
                          <w:t>suppression </w:t>
                        </w:r>
                        <w:r>
                          <w:rPr>
                            <w:color w:val="FFFFFF"/>
                            <w:sz w:val="16"/>
                          </w:rPr>
                          <w:t>of</w:t>
                        </w:r>
                        <w:r>
                          <w:rPr>
                            <w:color w:val="FFFFFF"/>
                            <w:spacing w:val="-12"/>
                            <w:sz w:val="16"/>
                          </w:rPr>
                          <w:t> </w:t>
                        </w:r>
                        <w:r>
                          <w:rPr>
                            <w:color w:val="FFFFFF"/>
                            <w:sz w:val="16"/>
                          </w:rPr>
                          <w:t>ideas.</w:t>
                        </w:r>
                      </w:p>
                      <w:p>
                        <w:pPr>
                          <w:spacing w:before="1"/>
                          <w:ind w:left="0" w:right="18" w:firstLine="0"/>
                          <w:jc w:val="center"/>
                          <w:rPr>
                            <w:sz w:val="16"/>
                          </w:rPr>
                        </w:pPr>
                        <w:r>
                          <w:rPr>
                            <w:color w:val="FFFFFF"/>
                            <w:spacing w:val="-5"/>
                            <w:sz w:val="16"/>
                          </w:rPr>
                          <w:t>Carl </w:t>
                        </w:r>
                        <w:r>
                          <w:rPr>
                            <w:color w:val="FFFFFF"/>
                            <w:spacing w:val="-2"/>
                            <w:sz w:val="16"/>
                          </w:rPr>
                          <w:t>Sagan</w:t>
                        </w:r>
                      </w:p>
                    </w:txbxContent>
                  </v:textbox>
                  <w10:wrap type="none"/>
                </v:shape>
                <v:shape style="position:absolute;left:8985;top:-1655;width:725;height:1786" type="#_x0000_t202" id="docshape14"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b/>
          <w:color w:val="002E6B"/>
          <w:sz w:val="24"/>
        </w:rPr>
        <w:t>MARIO</w:t>
      </w:r>
      <w:r>
        <w:rPr>
          <w:b/>
          <w:color w:val="002E6B"/>
          <w:spacing w:val="6"/>
          <w:sz w:val="24"/>
        </w:rPr>
        <w:t> </w:t>
      </w:r>
      <w:r>
        <w:rPr>
          <w:b/>
          <w:color w:val="002E6B"/>
          <w:sz w:val="24"/>
        </w:rPr>
        <w:t>C.</w:t>
      </w:r>
      <w:r>
        <w:rPr>
          <w:b/>
          <w:color w:val="002E6B"/>
          <w:spacing w:val="6"/>
          <w:sz w:val="24"/>
        </w:rPr>
        <w:t> </w:t>
      </w:r>
      <w:r>
        <w:rPr>
          <w:b/>
          <w:color w:val="002E6B"/>
          <w:spacing w:val="-2"/>
          <w:sz w:val="24"/>
        </w:rPr>
        <w:t>VASTA</w:t>
      </w:r>
    </w:p>
    <w:p>
      <w:pPr>
        <w:pStyle w:val="BodyText"/>
        <w:spacing w:line="297" w:lineRule="auto" w:before="147"/>
        <w:ind w:left="99" w:right="402"/>
      </w:pPr>
      <w:r>
        <w:rPr>
          <w:color w:val="6E6158"/>
        </w:rPr>
        <w:t>Mario Vasta is a Director in Fennemore’s Business Litigation and Intellectual Property practice groups. He represents businesses, entrepreneurs, and organizations in civil litigation involving</w:t>
      </w:r>
      <w:r>
        <w:rPr>
          <w:color w:val="6E6158"/>
          <w:spacing w:val="40"/>
        </w:rPr>
        <w:t> </w:t>
      </w:r>
      <w:r>
        <w:rPr>
          <w:color w:val="6E6158"/>
        </w:rPr>
        <w:t>intellectual property disputes, commercial litigation, contract disputes, and real estate </w:t>
      </w:r>
      <w:r>
        <w:rPr>
          <w:color w:val="6E6158"/>
        </w:rPr>
        <w:t>litigation.</w:t>
      </w:r>
      <w:r>
        <w:rPr>
          <w:color w:val="6E6158"/>
          <w:spacing w:val="40"/>
        </w:rPr>
        <w:t> </w:t>
      </w:r>
      <w:r>
        <w:rPr>
          <w:color w:val="6E6158"/>
        </w:rPr>
        <w:t>His practice focuses on helping clients resolve complex business conflicts while protecting their</w:t>
      </w:r>
      <w:r>
        <w:rPr>
          <w:color w:val="6E6158"/>
          <w:spacing w:val="40"/>
        </w:rPr>
        <w:t> </w:t>
      </w:r>
      <w:r>
        <w:rPr>
          <w:color w:val="6E6158"/>
        </w:rPr>
        <w:t>brands, intellectual property, and business interests.</w:t>
      </w:r>
    </w:p>
    <w:p>
      <w:pPr>
        <w:pStyle w:val="BodyText"/>
        <w:spacing w:line="292" w:lineRule="auto" w:before="191"/>
        <w:ind w:left="99"/>
      </w:pPr>
      <w:r>
        <w:rPr>
          <w:color w:val="6E6158"/>
        </w:rPr>
        <w:t>Mario represents clients in domestic and international intellectual property matters, </w:t>
      </w:r>
      <w:r>
        <w:rPr>
          <w:color w:val="6E6158"/>
        </w:rPr>
        <w:t>including</w:t>
      </w:r>
      <w:r>
        <w:rPr>
          <w:color w:val="6E6158"/>
          <w:spacing w:val="40"/>
        </w:rPr>
        <w:t> </w:t>
      </w:r>
      <w:r>
        <w:rPr>
          <w:color w:val="6E6158"/>
        </w:rPr>
        <w:t>trademark</w:t>
      </w:r>
      <w:r>
        <w:rPr>
          <w:color w:val="6E6158"/>
          <w:spacing w:val="19"/>
        </w:rPr>
        <w:t> </w:t>
      </w:r>
      <w:r>
        <w:rPr>
          <w:color w:val="6E6158"/>
        </w:rPr>
        <w:t>litigation,</w:t>
      </w:r>
      <w:r>
        <w:rPr>
          <w:color w:val="6E6158"/>
          <w:spacing w:val="20"/>
        </w:rPr>
        <w:t> </w:t>
      </w:r>
      <w:r>
        <w:rPr>
          <w:color w:val="6E6158"/>
        </w:rPr>
        <w:t>copyright</w:t>
      </w:r>
      <w:r>
        <w:rPr>
          <w:color w:val="6E6158"/>
          <w:spacing w:val="20"/>
        </w:rPr>
        <w:t> </w:t>
      </w:r>
      <w:r>
        <w:rPr>
          <w:color w:val="6E6158"/>
        </w:rPr>
        <w:t>litigation,</w:t>
      </w:r>
      <w:r>
        <w:rPr>
          <w:color w:val="6E6158"/>
          <w:spacing w:val="20"/>
        </w:rPr>
        <w:t> </w:t>
      </w:r>
      <w:r>
        <w:rPr>
          <w:color w:val="6E6158"/>
        </w:rPr>
        <w:t>trademark</w:t>
      </w:r>
      <w:r>
        <w:rPr>
          <w:color w:val="6E6158"/>
          <w:spacing w:val="20"/>
        </w:rPr>
        <w:t> </w:t>
      </w:r>
      <w:r>
        <w:rPr>
          <w:color w:val="6E6158"/>
        </w:rPr>
        <w:t>enforcement,</w:t>
      </w:r>
      <w:r>
        <w:rPr>
          <w:color w:val="6E6158"/>
          <w:spacing w:val="20"/>
        </w:rPr>
        <w:t> </w:t>
      </w:r>
      <w:r>
        <w:rPr>
          <w:color w:val="6E6158"/>
        </w:rPr>
        <w:t>trademark</w:t>
      </w:r>
      <w:r>
        <w:rPr>
          <w:color w:val="6E6158"/>
          <w:spacing w:val="20"/>
        </w:rPr>
        <w:t> </w:t>
      </w:r>
      <w:r>
        <w:rPr>
          <w:color w:val="6E6158"/>
        </w:rPr>
        <w:t>opposition</w:t>
      </w:r>
      <w:r>
        <w:rPr>
          <w:color w:val="6E6158"/>
          <w:spacing w:val="20"/>
        </w:rPr>
        <w:t> </w:t>
      </w:r>
      <w:r>
        <w:rPr>
          <w:color w:val="6E6158"/>
          <w:spacing w:val="-5"/>
        </w:rPr>
        <w:t>and</w:t>
      </w:r>
    </w:p>
    <w:p>
      <w:pPr>
        <w:pStyle w:val="BodyText"/>
        <w:spacing w:line="297" w:lineRule="auto" w:before="1"/>
        <w:ind w:left="99"/>
      </w:pPr>
      <w:r>
        <w:rPr>
          <w:color w:val="6E6158"/>
        </w:rPr>
        <w:t>cancellation proceedings before the U.S. Patent and Trademark Office, and counterfeit goods</w:t>
      </w:r>
      <w:r>
        <w:rPr>
          <w:color w:val="6E6158"/>
          <w:spacing w:val="40"/>
        </w:rPr>
        <w:t> </w:t>
      </w:r>
      <w:r>
        <w:rPr>
          <w:color w:val="6E6158"/>
        </w:rPr>
        <w:t>disputes. He advises businesses on trademark strategy, national brand expansion, licensing</w:t>
      </w:r>
      <w:r>
        <w:rPr>
          <w:color w:val="6E6158"/>
          <w:spacing w:val="40"/>
        </w:rPr>
        <w:t> </w:t>
      </w:r>
      <w:r>
        <w:rPr>
          <w:color w:val="6E6158"/>
        </w:rPr>
        <w:t>agreements,</w:t>
      </w:r>
      <w:r>
        <w:rPr>
          <w:color w:val="6E6158"/>
          <w:spacing w:val="37"/>
        </w:rPr>
        <w:t> </w:t>
      </w:r>
      <w:r>
        <w:rPr>
          <w:color w:val="6E6158"/>
        </w:rPr>
        <w:t>and</w:t>
      </w:r>
      <w:r>
        <w:rPr>
          <w:color w:val="6E6158"/>
          <w:spacing w:val="37"/>
        </w:rPr>
        <w:t> </w:t>
      </w:r>
      <w:r>
        <w:rPr>
          <w:color w:val="6E6158"/>
        </w:rPr>
        <w:t>brand</w:t>
      </w:r>
      <w:r>
        <w:rPr>
          <w:color w:val="6E6158"/>
          <w:spacing w:val="37"/>
        </w:rPr>
        <w:t> </w:t>
      </w:r>
      <w:r>
        <w:rPr>
          <w:color w:val="6E6158"/>
        </w:rPr>
        <w:t>protection,</w:t>
      </w:r>
      <w:r>
        <w:rPr>
          <w:color w:val="6E6158"/>
          <w:spacing w:val="37"/>
        </w:rPr>
        <w:t> </w:t>
      </w:r>
      <w:r>
        <w:rPr>
          <w:color w:val="6E6158"/>
        </w:rPr>
        <w:t>while</w:t>
      </w:r>
      <w:r>
        <w:rPr>
          <w:color w:val="6E6158"/>
          <w:spacing w:val="37"/>
        </w:rPr>
        <w:t> </w:t>
      </w:r>
      <w:r>
        <w:rPr>
          <w:color w:val="6E6158"/>
        </w:rPr>
        <w:t>helping</w:t>
      </w:r>
      <w:r>
        <w:rPr>
          <w:color w:val="6E6158"/>
          <w:spacing w:val="37"/>
        </w:rPr>
        <w:t> </w:t>
      </w:r>
      <w:r>
        <w:rPr>
          <w:color w:val="6E6158"/>
        </w:rPr>
        <w:t>clients</w:t>
      </w:r>
      <w:r>
        <w:rPr>
          <w:color w:val="6E6158"/>
          <w:spacing w:val="37"/>
        </w:rPr>
        <w:t> </w:t>
      </w:r>
      <w:r>
        <w:rPr>
          <w:color w:val="6E6158"/>
        </w:rPr>
        <w:t>secure</w:t>
      </w:r>
      <w:r>
        <w:rPr>
          <w:color w:val="6E6158"/>
          <w:spacing w:val="37"/>
        </w:rPr>
        <w:t> </w:t>
      </w:r>
      <w:r>
        <w:rPr>
          <w:color w:val="6E6158"/>
        </w:rPr>
        <w:t>federal</w:t>
      </w:r>
      <w:r>
        <w:rPr>
          <w:color w:val="6E6158"/>
          <w:spacing w:val="37"/>
        </w:rPr>
        <w:t> </w:t>
      </w:r>
      <w:r>
        <w:rPr>
          <w:color w:val="6E6158"/>
        </w:rPr>
        <w:t>trademark</w:t>
      </w:r>
      <w:r>
        <w:rPr>
          <w:color w:val="6E6158"/>
          <w:spacing w:val="37"/>
        </w:rPr>
        <w:t> </w:t>
      </w:r>
      <w:r>
        <w:rPr>
          <w:color w:val="6E6158"/>
        </w:rPr>
        <w:t>and</w:t>
      </w:r>
    </w:p>
    <w:p>
      <w:pPr>
        <w:pStyle w:val="BodyText"/>
        <w:spacing w:line="292" w:lineRule="auto"/>
        <w:ind w:left="99" w:right="402"/>
      </w:pPr>
      <w:r>
        <w:rPr>
          <w:color w:val="6E6158"/>
        </w:rPr>
        <w:t>copyright registrations to protect their intellectual property, creative works, and </w:t>
      </w:r>
      <w:r>
        <w:rPr>
          <w:color w:val="6E6158"/>
        </w:rPr>
        <w:t>business </w:t>
      </w:r>
      <w:r>
        <w:rPr>
          <w:color w:val="6E6158"/>
          <w:spacing w:val="-2"/>
        </w:rPr>
        <w:t>goodwill.</w:t>
      </w:r>
    </w:p>
    <w:p>
      <w:pPr>
        <w:pStyle w:val="BodyText"/>
        <w:spacing w:line="295" w:lineRule="auto" w:before="201"/>
        <w:ind w:left="99" w:right="229"/>
      </w:pPr>
      <w:r>
        <w:rPr>
          <w:color w:val="6E6158"/>
        </w:rPr>
        <w:t>Mario is widely recognized for helping companies combat online brand infringement, including</w:t>
      </w:r>
      <w:r>
        <w:rPr>
          <w:color w:val="6E6158"/>
          <w:spacing w:val="40"/>
        </w:rPr>
        <w:t> </w:t>
      </w:r>
      <w:r>
        <w:rPr>
          <w:color w:val="6E6158"/>
        </w:rPr>
        <w:t>disputes involving confusingly similar domain names, fraudulent websites, cybersquatting, and</w:t>
      </w:r>
      <w:r>
        <w:rPr>
          <w:color w:val="6E6158"/>
          <w:spacing w:val="40"/>
        </w:rPr>
        <w:t> </w:t>
      </w:r>
      <w:r>
        <w:rPr>
          <w:color w:val="6E6158"/>
        </w:rPr>
        <w:t>online impersonation schemes designed to divert customers and damage brand reputation. </w:t>
      </w:r>
      <w:r>
        <w:rPr>
          <w:color w:val="6E6158"/>
        </w:rPr>
        <w:t>He</w:t>
      </w:r>
      <w:r>
        <w:rPr>
          <w:color w:val="6E6158"/>
          <w:spacing w:val="40"/>
        </w:rPr>
        <w:t> </w:t>
      </w:r>
      <w:r>
        <w:rPr>
          <w:color w:val="6E6158"/>
        </w:rPr>
        <w:t>guides clients through legal and administrative proceedings to remove infringing websites,</w:t>
      </w:r>
      <w:r>
        <w:rPr>
          <w:color w:val="6E6158"/>
          <w:spacing w:val="40"/>
        </w:rPr>
        <w:t> </w:t>
      </w:r>
      <w:r>
        <w:rPr>
          <w:color w:val="6E6158"/>
        </w:rPr>
        <w:t>enforce</w:t>
      </w:r>
      <w:r>
        <w:rPr>
          <w:color w:val="6E6158"/>
          <w:spacing w:val="29"/>
        </w:rPr>
        <w:t> </w:t>
      </w:r>
      <w:r>
        <w:rPr>
          <w:color w:val="6E6158"/>
        </w:rPr>
        <w:t>intellectual</w:t>
      </w:r>
      <w:r>
        <w:rPr>
          <w:color w:val="6E6158"/>
          <w:spacing w:val="29"/>
        </w:rPr>
        <w:t> </w:t>
      </w:r>
      <w:r>
        <w:rPr>
          <w:color w:val="6E6158"/>
        </w:rPr>
        <w:t>property</w:t>
      </w:r>
      <w:r>
        <w:rPr>
          <w:color w:val="6E6158"/>
          <w:spacing w:val="29"/>
        </w:rPr>
        <w:t> </w:t>
      </w:r>
      <w:r>
        <w:rPr>
          <w:color w:val="6E6158"/>
        </w:rPr>
        <w:t>rights,</w:t>
      </w:r>
      <w:r>
        <w:rPr>
          <w:color w:val="6E6158"/>
          <w:spacing w:val="29"/>
        </w:rPr>
        <w:t> </w:t>
      </w:r>
      <w:r>
        <w:rPr>
          <w:color w:val="6E6158"/>
        </w:rPr>
        <w:t>and</w:t>
      </w:r>
      <w:r>
        <w:rPr>
          <w:color w:val="6E6158"/>
          <w:spacing w:val="29"/>
        </w:rPr>
        <w:t> </w:t>
      </w:r>
      <w:r>
        <w:rPr>
          <w:color w:val="6E6158"/>
        </w:rPr>
        <w:t>safeguard</w:t>
      </w:r>
      <w:r>
        <w:rPr>
          <w:color w:val="6E6158"/>
          <w:spacing w:val="29"/>
        </w:rPr>
        <w:t> </w:t>
      </w:r>
      <w:r>
        <w:rPr>
          <w:color w:val="6E6158"/>
        </w:rPr>
        <w:t>valuable</w:t>
      </w:r>
      <w:r>
        <w:rPr>
          <w:color w:val="6E6158"/>
          <w:spacing w:val="29"/>
        </w:rPr>
        <w:t> </w:t>
      </w:r>
      <w:r>
        <w:rPr>
          <w:color w:val="6E6158"/>
        </w:rPr>
        <w:t>brands</w:t>
      </w:r>
      <w:r>
        <w:rPr>
          <w:color w:val="6E6158"/>
          <w:spacing w:val="29"/>
        </w:rPr>
        <w:t> </w:t>
      </w:r>
      <w:r>
        <w:rPr>
          <w:color w:val="6E6158"/>
        </w:rPr>
        <w:t>in</w:t>
      </w:r>
      <w:r>
        <w:rPr>
          <w:color w:val="6E6158"/>
          <w:spacing w:val="29"/>
        </w:rPr>
        <w:t> </w:t>
      </w:r>
      <w:r>
        <w:rPr>
          <w:color w:val="6E6158"/>
        </w:rPr>
        <w:t>the</w:t>
      </w:r>
      <w:r>
        <w:rPr>
          <w:color w:val="6E6158"/>
          <w:spacing w:val="29"/>
        </w:rPr>
        <w:t> </w:t>
      </w:r>
      <w:r>
        <w:rPr>
          <w:color w:val="6E6158"/>
        </w:rPr>
        <w:t>digital</w:t>
      </w:r>
      <w:r>
        <w:rPr>
          <w:color w:val="6E6158"/>
          <w:spacing w:val="29"/>
        </w:rPr>
        <w:t> </w:t>
      </w:r>
      <w:r>
        <w:rPr>
          <w:color w:val="6E6158"/>
        </w:rPr>
        <w:t>marketplace.</w:t>
      </w:r>
    </w:p>
    <w:p>
      <w:pPr>
        <w:pStyle w:val="BodyText"/>
        <w:spacing w:line="295" w:lineRule="auto" w:before="195"/>
        <w:ind w:left="99" w:right="316"/>
        <w:jc w:val="both"/>
      </w:pPr>
      <w:r>
        <w:rPr>
          <w:color w:val="6E6158"/>
        </w:rPr>
        <w:t>In addition to his intellectual property practice, Mario represents clients in water rights litigation throughout Arizona. He works with farmers, agricultural businesses, irrigation districts, and other water users to resolve water rights disputes, navigate administrative proceedings, and protect long-standing water rights essential to their operations. His work includes matters involving </w:t>
      </w:r>
      <w:r>
        <w:rPr>
          <w:color w:val="6E6158"/>
        </w:rPr>
        <w:t>legal precedents dating back to the 1920s that continue to shape Arizona water law.</w:t>
      </w:r>
    </w:p>
    <w:p>
      <w:pPr>
        <w:pStyle w:val="BodyText"/>
        <w:spacing w:after="0" w:line="295" w:lineRule="auto"/>
        <w:jc w:val="both"/>
        <w:sectPr>
          <w:type w:val="continuous"/>
          <w:pgSz w:w="12240" w:h="15840"/>
          <w:pgMar w:top="560" w:bottom="280" w:left="1440" w:right="1440"/>
        </w:sectPr>
      </w:pPr>
    </w:p>
    <w:p>
      <w:pPr>
        <w:pStyle w:val="BodyText"/>
        <w:spacing w:line="292" w:lineRule="auto" w:before="83"/>
        <w:ind w:left="99"/>
      </w:pPr>
      <w:r>
        <w:rPr>
          <w:color w:val="6E6158"/>
        </w:rPr>
        <w:t>Mario knew he wanted to become an attorney at the age of 12 and spent years developing the</w:t>
      </w:r>
      <w:r>
        <w:rPr>
          <w:color w:val="6E6158"/>
          <w:spacing w:val="40"/>
        </w:rPr>
        <w:t> </w:t>
      </w:r>
      <w:r>
        <w:rPr>
          <w:color w:val="6E6158"/>
        </w:rPr>
        <w:t>reading,</w:t>
      </w:r>
      <w:r>
        <w:rPr>
          <w:color w:val="6E6158"/>
          <w:spacing w:val="25"/>
        </w:rPr>
        <w:t> </w:t>
      </w:r>
      <w:r>
        <w:rPr>
          <w:color w:val="6E6158"/>
        </w:rPr>
        <w:t>writing,</w:t>
      </w:r>
      <w:r>
        <w:rPr>
          <w:color w:val="6E6158"/>
          <w:spacing w:val="25"/>
        </w:rPr>
        <w:t> </w:t>
      </w:r>
      <w:r>
        <w:rPr>
          <w:color w:val="6E6158"/>
        </w:rPr>
        <w:t>and</w:t>
      </w:r>
      <w:r>
        <w:rPr>
          <w:color w:val="6E6158"/>
          <w:spacing w:val="25"/>
        </w:rPr>
        <w:t> </w:t>
      </w:r>
      <w:r>
        <w:rPr>
          <w:color w:val="6E6158"/>
        </w:rPr>
        <w:t>public</w:t>
      </w:r>
      <w:r>
        <w:rPr>
          <w:color w:val="6E6158"/>
          <w:spacing w:val="25"/>
        </w:rPr>
        <w:t> </w:t>
      </w:r>
      <w:r>
        <w:rPr>
          <w:color w:val="6E6158"/>
        </w:rPr>
        <w:t>speaking</w:t>
      </w:r>
      <w:r>
        <w:rPr>
          <w:color w:val="6E6158"/>
          <w:spacing w:val="25"/>
        </w:rPr>
        <w:t> </w:t>
      </w:r>
      <w:r>
        <w:rPr>
          <w:color w:val="6E6158"/>
        </w:rPr>
        <w:t>skills</w:t>
      </w:r>
      <w:r>
        <w:rPr>
          <w:color w:val="6E6158"/>
          <w:spacing w:val="25"/>
        </w:rPr>
        <w:t> </w:t>
      </w:r>
      <w:r>
        <w:rPr>
          <w:color w:val="6E6158"/>
        </w:rPr>
        <w:t>that</w:t>
      </w:r>
      <w:r>
        <w:rPr>
          <w:color w:val="6E6158"/>
          <w:spacing w:val="25"/>
        </w:rPr>
        <w:t> </w:t>
      </w:r>
      <w:r>
        <w:rPr>
          <w:color w:val="6E6158"/>
        </w:rPr>
        <w:t>would</w:t>
      </w:r>
      <w:r>
        <w:rPr>
          <w:color w:val="6E6158"/>
          <w:spacing w:val="25"/>
        </w:rPr>
        <w:t> </w:t>
      </w:r>
      <w:r>
        <w:rPr>
          <w:color w:val="6E6158"/>
        </w:rPr>
        <w:t>help</w:t>
      </w:r>
      <w:r>
        <w:rPr>
          <w:color w:val="6E6158"/>
          <w:spacing w:val="25"/>
        </w:rPr>
        <w:t> </w:t>
      </w:r>
      <w:r>
        <w:rPr>
          <w:color w:val="6E6158"/>
        </w:rPr>
        <w:t>him</w:t>
      </w:r>
      <w:r>
        <w:rPr>
          <w:color w:val="6E6158"/>
          <w:spacing w:val="25"/>
        </w:rPr>
        <w:t> </w:t>
      </w:r>
      <w:r>
        <w:rPr>
          <w:color w:val="6E6158"/>
        </w:rPr>
        <w:t>become</w:t>
      </w:r>
      <w:r>
        <w:rPr>
          <w:color w:val="6E6158"/>
          <w:spacing w:val="25"/>
        </w:rPr>
        <w:t> </w:t>
      </w:r>
      <w:r>
        <w:rPr>
          <w:color w:val="6E6158"/>
        </w:rPr>
        <w:t>the</w:t>
      </w:r>
      <w:r>
        <w:rPr>
          <w:color w:val="6E6158"/>
          <w:spacing w:val="25"/>
        </w:rPr>
        <w:t> </w:t>
      </w:r>
      <w:r>
        <w:rPr>
          <w:color w:val="6E6158"/>
        </w:rPr>
        <w:t>first</w:t>
      </w:r>
      <w:r>
        <w:rPr>
          <w:color w:val="6E6158"/>
          <w:spacing w:val="25"/>
        </w:rPr>
        <w:t> </w:t>
      </w:r>
      <w:r>
        <w:rPr>
          <w:color w:val="6E6158"/>
        </w:rPr>
        <w:t>lawyer</w:t>
      </w:r>
      <w:r>
        <w:rPr>
          <w:color w:val="6E6158"/>
          <w:spacing w:val="25"/>
        </w:rPr>
        <w:t> </w:t>
      </w:r>
      <w:r>
        <w:rPr>
          <w:color w:val="6E6158"/>
        </w:rPr>
        <w:t>in</w:t>
      </w:r>
      <w:r>
        <w:rPr>
          <w:color w:val="6E6158"/>
          <w:spacing w:val="25"/>
        </w:rPr>
        <w:t> </w:t>
      </w:r>
      <w:r>
        <w:rPr>
          <w:color w:val="6E6158"/>
        </w:rPr>
        <w:t>his</w:t>
      </w:r>
    </w:p>
    <w:p>
      <w:pPr>
        <w:pStyle w:val="BodyText"/>
        <w:spacing w:line="292" w:lineRule="auto" w:before="10"/>
        <w:ind w:left="99" w:right="402"/>
      </w:pPr>
      <w:r>
        <w:rPr>
          <w:color w:val="6E6158"/>
        </w:rPr>
        <w:t>family. Raised in Western New York, he attended Cornell University before driving his Pontiac to</w:t>
      </w:r>
      <w:r>
        <w:rPr>
          <w:color w:val="6E6158"/>
          <w:spacing w:val="40"/>
        </w:rPr>
        <w:t> </w:t>
      </w:r>
      <w:r>
        <w:rPr>
          <w:color w:val="6E6158"/>
        </w:rPr>
        <w:t>Phoenix, Arizona, where he graduated first in his class at Arizona State University’s Sandra Day</w:t>
      </w:r>
      <w:r>
        <w:rPr>
          <w:color w:val="6E6158"/>
          <w:spacing w:val="40"/>
        </w:rPr>
        <w:t> </w:t>
      </w:r>
      <w:r>
        <w:rPr>
          <w:color w:val="6E6158"/>
        </w:rPr>
        <w:t>O’Connor College of Law. Today, he brings that same determination and creativity to helping</w:t>
      </w:r>
      <w:r>
        <w:rPr>
          <w:color w:val="6E6158"/>
          <w:spacing w:val="40"/>
        </w:rPr>
        <w:t> </w:t>
      </w:r>
      <w:r>
        <w:rPr>
          <w:color w:val="6E6158"/>
        </w:rPr>
        <w:t>clients resolve complex legal disputes efficiently and strategically.</w:t>
      </w:r>
    </w:p>
    <w:p>
      <w:pPr>
        <w:pStyle w:val="BodyText"/>
        <w:spacing w:line="292" w:lineRule="auto" w:before="206"/>
        <w:ind w:left="99" w:right="402"/>
      </w:pPr>
      <w:r>
        <w:rPr>
          <w:color w:val="6E6158"/>
        </w:rPr>
        <w:t>Mario is usually spending family time with his three sons and Australian cattle dog. He recharges</w:t>
      </w:r>
      <w:r>
        <w:rPr>
          <w:color w:val="6E6158"/>
          <w:spacing w:val="40"/>
        </w:rPr>
        <w:t> </w:t>
      </w:r>
      <w:r>
        <w:rPr>
          <w:color w:val="6E6158"/>
        </w:rPr>
        <w:t>his batteries in the great outdoors with activities like hiking and backpacking. An avid reader, Mario’s home library includes a wide range of historical and scientific non-fiction, as well as</w:t>
      </w:r>
      <w:r>
        <w:rPr>
          <w:color w:val="6E6158"/>
          <w:spacing w:val="80"/>
        </w:rPr>
        <w:t> </w:t>
      </w:r>
      <w:r>
        <w:rPr>
          <w:color w:val="6E6158"/>
        </w:rPr>
        <w:t>plenty of sci-fi.</w:t>
      </w:r>
    </w:p>
    <w:p>
      <w:pPr>
        <w:pStyle w:val="Heading1"/>
        <w:spacing w:before="171"/>
      </w:pPr>
      <w:r>
        <w:rPr>
          <w:color w:val="FF8100"/>
          <w:spacing w:val="-2"/>
        </w:rPr>
        <w:t>EDUCATION</w:t>
      </w:r>
    </w:p>
    <w:p>
      <w:pPr>
        <w:pStyle w:val="BodyText"/>
        <w:spacing w:before="18"/>
        <w:rPr>
          <w:b/>
        </w:rPr>
      </w:pPr>
    </w:p>
    <w:p>
      <w:pPr>
        <w:pStyle w:val="BodyText"/>
        <w:spacing w:line="408" w:lineRule="auto"/>
        <w:ind w:left="99" w:right="776"/>
      </w:pPr>
      <w:r>
        <w:rPr>
          <w:color w:val="6E6158"/>
        </w:rPr>
        <w:t>J.D., </w:t>
      </w:r>
      <w:r>
        <w:rPr>
          <w:i/>
          <w:color w:val="6E6158"/>
          <w:sz w:val="20"/>
        </w:rPr>
        <w:t>summa cum laude</w:t>
      </w:r>
      <w:r>
        <w:rPr>
          <w:color w:val="6E6158"/>
        </w:rPr>
        <w:t>, Arizona State University, Sandra Day O’Connor College of </w:t>
      </w:r>
      <w:r>
        <w:rPr>
          <w:color w:val="6E6158"/>
        </w:rPr>
        <w:t>Law</w:t>
      </w:r>
      <w:r>
        <w:rPr>
          <w:color w:val="6E6158"/>
        </w:rPr>
        <w:t> B.A., Cornell University</w:t>
      </w:r>
    </w:p>
    <w:p>
      <w:pPr>
        <w:pStyle w:val="BodyText"/>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7"/>
        <w:rPr>
          <w:b/>
        </w:rPr>
      </w:pPr>
    </w:p>
    <w:p>
      <w:pPr>
        <w:pStyle w:val="BodyText"/>
        <w:spacing w:line="422" w:lineRule="auto" w:before="1"/>
        <w:ind w:left="99" w:right="6659"/>
      </w:pPr>
      <w:r>
        <w:rPr>
          <w:color w:val="6E6158"/>
        </w:rPr>
        <w:t>Business Litigation Intellectual </w:t>
      </w:r>
      <w:r>
        <w:rPr>
          <w:color w:val="6E6158"/>
        </w:rPr>
        <w:t>Property Cannabis Business</w:t>
      </w:r>
    </w:p>
    <w:p>
      <w:pPr>
        <w:pStyle w:val="Heading1"/>
        <w:spacing w:before="282"/>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17"/>
        <w:rPr>
          <w:b/>
        </w:rPr>
      </w:pPr>
    </w:p>
    <w:p>
      <w:pPr>
        <w:spacing w:line="297" w:lineRule="auto" w:before="0"/>
        <w:ind w:left="99" w:right="402" w:firstLine="0"/>
        <w:jc w:val="left"/>
        <w:rPr>
          <w:sz w:val="19"/>
        </w:rPr>
      </w:pPr>
      <w:r>
        <w:rPr>
          <w:i/>
          <w:color w:val="6E6158"/>
          <w:sz w:val="20"/>
        </w:rPr>
        <w:t>Best Lawyers in America</w:t>
      </w:r>
      <w:r>
        <w:rPr>
          <w:color w:val="6E6158"/>
          <w:sz w:val="19"/>
        </w:rPr>
        <w:t>®, Ones to Watch – Commercial Litigation, Litigation – Intellectual Property, 2023 – 2025</w:t>
      </w:r>
    </w:p>
    <w:p>
      <w:pPr>
        <w:spacing w:before="107"/>
        <w:ind w:left="99" w:right="0" w:firstLine="0"/>
        <w:jc w:val="left"/>
        <w:rPr>
          <w:sz w:val="19"/>
        </w:rPr>
      </w:pPr>
      <w:r>
        <w:rPr>
          <w:color w:val="6E6158"/>
          <w:sz w:val="19"/>
        </w:rPr>
        <w:t>50</w:t>
      </w:r>
      <w:r>
        <w:rPr>
          <w:color w:val="6E6158"/>
          <w:spacing w:val="-2"/>
          <w:sz w:val="19"/>
        </w:rPr>
        <w:t> </w:t>
      </w:r>
      <w:r>
        <w:rPr>
          <w:color w:val="6E6158"/>
          <w:sz w:val="19"/>
        </w:rPr>
        <w:t>Rising</w:t>
      </w:r>
      <w:r>
        <w:rPr>
          <w:color w:val="6E6158"/>
          <w:spacing w:val="-2"/>
          <w:sz w:val="19"/>
        </w:rPr>
        <w:t> </w:t>
      </w:r>
      <w:r>
        <w:rPr>
          <w:color w:val="6E6158"/>
          <w:sz w:val="19"/>
        </w:rPr>
        <w:t>Stars</w:t>
      </w:r>
      <w:r>
        <w:rPr>
          <w:color w:val="6E6158"/>
          <w:spacing w:val="-2"/>
          <w:sz w:val="19"/>
        </w:rPr>
        <w:t> </w:t>
      </w:r>
      <w:r>
        <w:rPr>
          <w:color w:val="6E6158"/>
          <w:sz w:val="19"/>
        </w:rPr>
        <w:t>in</w:t>
      </w:r>
      <w:r>
        <w:rPr>
          <w:color w:val="6E6158"/>
          <w:spacing w:val="-2"/>
          <w:sz w:val="19"/>
        </w:rPr>
        <w:t> </w:t>
      </w:r>
      <w:r>
        <w:rPr>
          <w:color w:val="6E6158"/>
          <w:sz w:val="19"/>
        </w:rPr>
        <w:t>Law,</w:t>
      </w:r>
      <w:r>
        <w:rPr>
          <w:color w:val="6E6158"/>
          <w:spacing w:val="-2"/>
          <w:sz w:val="19"/>
        </w:rPr>
        <w:t> </w:t>
      </w:r>
      <w:r>
        <w:rPr>
          <w:i/>
          <w:color w:val="6E6158"/>
          <w:sz w:val="20"/>
        </w:rPr>
        <w:t>AZ</w:t>
      </w:r>
      <w:r>
        <w:rPr>
          <w:i/>
          <w:color w:val="6E6158"/>
          <w:spacing w:val="-5"/>
          <w:sz w:val="20"/>
        </w:rPr>
        <w:t> </w:t>
      </w:r>
      <w:r>
        <w:rPr>
          <w:i/>
          <w:color w:val="6E6158"/>
          <w:sz w:val="20"/>
        </w:rPr>
        <w:t>Business</w:t>
      </w:r>
      <w:r>
        <w:rPr>
          <w:i/>
          <w:color w:val="6E6158"/>
          <w:spacing w:val="-5"/>
          <w:sz w:val="20"/>
        </w:rPr>
        <w:t> </w:t>
      </w:r>
      <w:r>
        <w:rPr>
          <w:i/>
          <w:color w:val="6E6158"/>
          <w:sz w:val="20"/>
        </w:rPr>
        <w:t>Magazine</w:t>
      </w:r>
      <w:r>
        <w:rPr>
          <w:color w:val="6E6158"/>
          <w:sz w:val="19"/>
        </w:rPr>
        <w:t>,</w:t>
      </w:r>
      <w:r>
        <w:rPr>
          <w:color w:val="6E6158"/>
          <w:spacing w:val="-2"/>
          <w:sz w:val="19"/>
        </w:rPr>
        <w:t> </w:t>
      </w:r>
      <w:r>
        <w:rPr>
          <w:color w:val="6E6158"/>
          <w:spacing w:val="-4"/>
          <w:sz w:val="19"/>
        </w:rPr>
        <w:t>2025</w:t>
      </w:r>
    </w:p>
    <w:p>
      <w:pPr>
        <w:spacing w:before="165"/>
        <w:ind w:left="99" w:right="0" w:firstLine="0"/>
        <w:jc w:val="left"/>
        <w:rPr>
          <w:sz w:val="19"/>
        </w:rPr>
      </w:pPr>
      <w:r>
        <w:rPr>
          <w:i/>
          <w:color w:val="6E6158"/>
          <w:sz w:val="20"/>
        </w:rPr>
        <w:t>Southwest</w:t>
      </w:r>
      <w:r>
        <w:rPr>
          <w:i/>
          <w:color w:val="6E6158"/>
          <w:spacing w:val="-6"/>
          <w:sz w:val="20"/>
        </w:rPr>
        <w:t> </w:t>
      </w:r>
      <w:r>
        <w:rPr>
          <w:i/>
          <w:color w:val="6E6158"/>
          <w:sz w:val="20"/>
        </w:rPr>
        <w:t>Rising</w:t>
      </w:r>
      <w:r>
        <w:rPr>
          <w:i/>
          <w:color w:val="6E6158"/>
          <w:spacing w:val="-5"/>
          <w:sz w:val="20"/>
        </w:rPr>
        <w:t> </w:t>
      </w:r>
      <w:r>
        <w:rPr>
          <w:i/>
          <w:color w:val="6E6158"/>
          <w:sz w:val="20"/>
        </w:rPr>
        <w:t>Stars</w:t>
      </w:r>
      <w:r>
        <w:rPr>
          <w:i/>
          <w:color w:val="6E6158"/>
          <w:position w:val="7"/>
          <w:sz w:val="16"/>
        </w:rPr>
        <w:t>®</w:t>
      </w:r>
      <w:r>
        <w:rPr>
          <w:i/>
          <w:color w:val="6E6158"/>
          <w:sz w:val="20"/>
        </w:rPr>
        <w:t>,</w:t>
      </w:r>
      <w:r>
        <w:rPr>
          <w:i/>
          <w:color w:val="6E6158"/>
          <w:spacing w:val="-6"/>
          <w:sz w:val="20"/>
        </w:rPr>
        <w:t> </w:t>
      </w:r>
      <w:r>
        <w:rPr>
          <w:color w:val="6E6158"/>
          <w:sz w:val="19"/>
        </w:rPr>
        <w:t>Business</w:t>
      </w:r>
      <w:r>
        <w:rPr>
          <w:color w:val="6E6158"/>
          <w:spacing w:val="-2"/>
          <w:sz w:val="19"/>
        </w:rPr>
        <w:t> </w:t>
      </w:r>
      <w:r>
        <w:rPr>
          <w:color w:val="6E6158"/>
          <w:sz w:val="19"/>
        </w:rPr>
        <w:t>Litigation,</w:t>
      </w:r>
      <w:r>
        <w:rPr>
          <w:color w:val="6E6158"/>
          <w:spacing w:val="-3"/>
          <w:sz w:val="19"/>
        </w:rPr>
        <w:t> </w:t>
      </w:r>
      <w:r>
        <w:rPr>
          <w:color w:val="6E6158"/>
          <w:sz w:val="19"/>
        </w:rPr>
        <w:t>2022-</w:t>
      </w:r>
      <w:r>
        <w:rPr>
          <w:color w:val="6E6158"/>
          <w:spacing w:val="-4"/>
          <w:sz w:val="19"/>
        </w:rPr>
        <w:t>2026</w:t>
      </w:r>
    </w:p>
    <w:p>
      <w:pPr>
        <w:pStyle w:val="BodyText"/>
        <w:spacing w:before="16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rPr>
          <w:b/>
        </w:rPr>
      </w:pPr>
    </w:p>
    <w:p>
      <w:pPr>
        <w:pStyle w:val="BodyText"/>
        <w:ind w:left="99"/>
      </w:pPr>
      <w:r>
        <w:rPr>
          <w:color w:val="6E6158"/>
        </w:rPr>
        <w:t>Board</w:t>
      </w:r>
      <w:r>
        <w:rPr>
          <w:color w:val="6E6158"/>
          <w:spacing w:val="6"/>
        </w:rPr>
        <w:t> </w:t>
      </w:r>
      <w:r>
        <w:rPr>
          <w:color w:val="6E6158"/>
        </w:rPr>
        <w:t>Member,</w:t>
      </w:r>
      <w:r>
        <w:rPr>
          <w:color w:val="6E6158"/>
          <w:spacing w:val="6"/>
        </w:rPr>
        <w:t> </w:t>
      </w:r>
      <w:r>
        <w:rPr>
          <w:color w:val="6E6158"/>
        </w:rPr>
        <w:t>Live</w:t>
      </w:r>
      <w:r>
        <w:rPr>
          <w:color w:val="6E6158"/>
          <w:spacing w:val="7"/>
        </w:rPr>
        <w:t> </w:t>
      </w:r>
      <w:r>
        <w:rPr>
          <w:color w:val="6E6158"/>
        </w:rPr>
        <w:t>Life</w:t>
      </w:r>
      <w:r>
        <w:rPr>
          <w:color w:val="6E6158"/>
          <w:spacing w:val="6"/>
        </w:rPr>
        <w:t> </w:t>
      </w:r>
      <w:r>
        <w:rPr>
          <w:color w:val="6E6158"/>
        </w:rPr>
        <w:t>Give</w:t>
      </w:r>
      <w:r>
        <w:rPr>
          <w:color w:val="6E6158"/>
          <w:spacing w:val="7"/>
        </w:rPr>
        <w:t> </w:t>
      </w:r>
      <w:r>
        <w:rPr>
          <w:color w:val="6E6158"/>
        </w:rPr>
        <w:t>Life</w:t>
      </w:r>
      <w:r>
        <w:rPr>
          <w:color w:val="6E6158"/>
          <w:spacing w:val="6"/>
        </w:rPr>
        <w:t> </w:t>
      </w:r>
      <w:r>
        <w:rPr>
          <w:color w:val="6E6158"/>
          <w:spacing w:val="-2"/>
        </w:rPr>
        <w:t>Fundraising</w:t>
      </w:r>
    </w:p>
    <w:p>
      <w:pPr>
        <w:pStyle w:val="BodyText"/>
        <w:spacing w:before="171"/>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rPr>
          <w:b/>
        </w:rPr>
      </w:pPr>
    </w:p>
    <w:p>
      <w:pPr>
        <w:pStyle w:val="BodyText"/>
        <w:spacing w:line="292" w:lineRule="auto"/>
        <w:ind w:left="99" w:right="402"/>
      </w:pPr>
      <w:r>
        <w:rPr>
          <w:color w:val="6E6158"/>
        </w:rPr>
        <w:t>Author, “</w:t>
      </w:r>
      <w:hyperlink r:id="rId11">
        <w:r>
          <w:rPr>
            <w:color w:val="F5821F"/>
          </w:rPr>
          <w:t>Paste, Prompt, Regret: The IP Risks of Everyday AI</w:t>
        </w:r>
      </w:hyperlink>
      <w:r>
        <w:rPr>
          <w:color w:val="6E6158"/>
        </w:rPr>
        <w:t>,” Great Phoenix InBusiness Magazine,</w:t>
      </w:r>
      <w:r>
        <w:rPr>
          <w:color w:val="6E6158"/>
          <w:spacing w:val="40"/>
        </w:rPr>
        <w:t> </w:t>
      </w:r>
      <w:r>
        <w:rPr>
          <w:color w:val="6E6158"/>
        </w:rPr>
        <w:t>April 23, 2026</w:t>
      </w:r>
    </w:p>
    <w:p>
      <w:pPr>
        <w:pStyle w:val="BodyText"/>
        <w:spacing w:before="123"/>
        <w:ind w:left="99"/>
      </w:pPr>
      <w:r>
        <w:rPr>
          <w:color w:val="6E6158"/>
        </w:rPr>
        <w:t>Author,</w:t>
      </w:r>
      <w:r>
        <w:rPr>
          <w:color w:val="6E6158"/>
          <w:spacing w:val="8"/>
        </w:rPr>
        <w:t> </w:t>
      </w:r>
      <w:r>
        <w:rPr>
          <w:color w:val="6E6158"/>
        </w:rPr>
        <w:t>“</w:t>
      </w:r>
      <w:hyperlink r:id="rId12">
        <w:r>
          <w:rPr>
            <w:color w:val="F5821F"/>
          </w:rPr>
          <w:t>Paste,</w:t>
        </w:r>
        <w:r>
          <w:rPr>
            <w:color w:val="F5821F"/>
            <w:spacing w:val="8"/>
          </w:rPr>
          <w:t> </w:t>
        </w:r>
        <w:r>
          <w:rPr>
            <w:color w:val="F5821F"/>
          </w:rPr>
          <w:t>prompt,</w:t>
        </w:r>
        <w:r>
          <w:rPr>
            <w:color w:val="F5821F"/>
            <w:spacing w:val="8"/>
          </w:rPr>
          <w:t> </w:t>
        </w:r>
        <w:r>
          <w:rPr>
            <w:color w:val="F5821F"/>
          </w:rPr>
          <w:t>regret:</w:t>
        </w:r>
        <w:r>
          <w:rPr>
            <w:color w:val="F5821F"/>
            <w:spacing w:val="9"/>
          </w:rPr>
          <w:t> </w:t>
        </w:r>
        <w:r>
          <w:rPr>
            <w:color w:val="F5821F"/>
          </w:rPr>
          <w:t>The</w:t>
        </w:r>
        <w:r>
          <w:rPr>
            <w:color w:val="F5821F"/>
            <w:spacing w:val="8"/>
          </w:rPr>
          <w:t> </w:t>
        </w:r>
        <w:r>
          <w:rPr>
            <w:color w:val="F5821F"/>
          </w:rPr>
          <w:t>IP</w:t>
        </w:r>
        <w:r>
          <w:rPr>
            <w:color w:val="F5821F"/>
            <w:spacing w:val="8"/>
          </w:rPr>
          <w:t> </w:t>
        </w:r>
        <w:r>
          <w:rPr>
            <w:color w:val="F5821F"/>
          </w:rPr>
          <w:t>risks</w:t>
        </w:r>
        <w:r>
          <w:rPr>
            <w:color w:val="F5821F"/>
            <w:spacing w:val="9"/>
          </w:rPr>
          <w:t> </w:t>
        </w:r>
        <w:r>
          <w:rPr>
            <w:color w:val="F5821F"/>
          </w:rPr>
          <w:t>of</w:t>
        </w:r>
        <w:r>
          <w:rPr>
            <w:color w:val="F5821F"/>
            <w:spacing w:val="8"/>
          </w:rPr>
          <w:t> </w:t>
        </w:r>
        <w:r>
          <w:rPr>
            <w:color w:val="F5821F"/>
          </w:rPr>
          <w:t>everyday</w:t>
        </w:r>
        <w:r>
          <w:rPr>
            <w:color w:val="F5821F"/>
            <w:spacing w:val="8"/>
          </w:rPr>
          <w:t> </w:t>
        </w:r>
        <w:r>
          <w:rPr>
            <w:color w:val="F5821F"/>
          </w:rPr>
          <w:t>AI</w:t>
        </w:r>
      </w:hyperlink>
      <w:r>
        <w:rPr>
          <w:color w:val="6E6158"/>
        </w:rPr>
        <w:t>,”</w:t>
      </w:r>
      <w:r>
        <w:rPr>
          <w:color w:val="6E6158"/>
          <w:spacing w:val="9"/>
        </w:rPr>
        <w:t> </w:t>
      </w:r>
      <w:r>
        <w:rPr>
          <w:color w:val="6E6158"/>
        </w:rPr>
        <w:t>AZ</w:t>
      </w:r>
      <w:r>
        <w:rPr>
          <w:color w:val="6E6158"/>
          <w:spacing w:val="8"/>
        </w:rPr>
        <w:t> </w:t>
      </w:r>
      <w:r>
        <w:rPr>
          <w:color w:val="6E6158"/>
        </w:rPr>
        <w:t>Big</w:t>
      </w:r>
      <w:r>
        <w:rPr>
          <w:color w:val="6E6158"/>
          <w:spacing w:val="8"/>
        </w:rPr>
        <w:t> </w:t>
      </w:r>
      <w:r>
        <w:rPr>
          <w:color w:val="6E6158"/>
        </w:rPr>
        <w:t>Media,</w:t>
      </w:r>
      <w:r>
        <w:rPr>
          <w:color w:val="6E6158"/>
          <w:spacing w:val="9"/>
        </w:rPr>
        <w:t> </w:t>
      </w:r>
      <w:r>
        <w:rPr>
          <w:color w:val="6E6158"/>
        </w:rPr>
        <w:t>April</w:t>
      </w:r>
      <w:r>
        <w:rPr>
          <w:color w:val="6E6158"/>
          <w:spacing w:val="8"/>
        </w:rPr>
        <w:t> </w:t>
      </w:r>
      <w:r>
        <w:rPr>
          <w:color w:val="6E6158"/>
        </w:rPr>
        <w:t>20,</w:t>
      </w:r>
      <w:r>
        <w:rPr>
          <w:color w:val="6E6158"/>
          <w:spacing w:val="8"/>
        </w:rPr>
        <w:t> </w:t>
      </w:r>
      <w:r>
        <w:rPr>
          <w:color w:val="6E6158"/>
          <w:spacing w:val="-4"/>
        </w:rPr>
        <w:t>2026</w:t>
      </w:r>
    </w:p>
    <w:p>
      <w:pPr>
        <w:pStyle w:val="BodyText"/>
        <w:spacing w:line="292" w:lineRule="auto" w:before="182"/>
        <w:ind w:left="99" w:right="402"/>
      </w:pPr>
      <w:r>
        <w:rPr>
          <w:color w:val="6E6158"/>
        </w:rPr>
        <w:t>Author, “</w:t>
      </w:r>
      <w:hyperlink r:id="rId13">
        <w:r>
          <w:rPr>
            <w:color w:val="F5821F"/>
          </w:rPr>
          <w:t>Paste, prompt, regret: The IP risks of everyday AI</w:t>
        </w:r>
      </w:hyperlink>
      <w:r>
        <w:rPr>
          <w:color w:val="6E6158"/>
        </w:rPr>
        <w:t>,” Greater Phoenix Chamber, April 20, </w:t>
      </w:r>
      <w:r>
        <w:rPr>
          <w:color w:val="6E6158"/>
          <w:spacing w:val="-4"/>
        </w:rPr>
        <w:t>2026</w:t>
      </w:r>
    </w:p>
    <w:p>
      <w:pPr>
        <w:pStyle w:val="BodyText"/>
        <w:spacing w:before="123"/>
        <w:ind w:left="99"/>
      </w:pPr>
      <w:r>
        <w:rPr>
          <w:color w:val="6E6158"/>
        </w:rPr>
        <w:t>Author,</w:t>
      </w:r>
      <w:r>
        <w:rPr>
          <w:color w:val="6E6158"/>
          <w:spacing w:val="8"/>
        </w:rPr>
        <w:t> </w:t>
      </w:r>
      <w:r>
        <w:rPr>
          <w:color w:val="6E6158"/>
        </w:rPr>
        <w:t>“</w:t>
      </w:r>
      <w:hyperlink r:id="rId14">
        <w:r>
          <w:rPr>
            <w:color w:val="F5821F"/>
          </w:rPr>
          <w:t>Protecting</w:t>
        </w:r>
        <w:r>
          <w:rPr>
            <w:color w:val="F5821F"/>
            <w:spacing w:val="9"/>
          </w:rPr>
          <w:t> </w:t>
        </w:r>
        <w:r>
          <w:rPr>
            <w:color w:val="F5821F"/>
          </w:rPr>
          <w:t>your</w:t>
        </w:r>
        <w:r>
          <w:rPr>
            <w:color w:val="F5821F"/>
            <w:spacing w:val="8"/>
          </w:rPr>
          <w:t> </w:t>
        </w:r>
        <w:r>
          <w:rPr>
            <w:color w:val="F5821F"/>
          </w:rPr>
          <w:t>IP</w:t>
        </w:r>
        <w:r>
          <w:rPr>
            <w:color w:val="F5821F"/>
            <w:spacing w:val="9"/>
          </w:rPr>
          <w:t> </w:t>
        </w:r>
        <w:r>
          <w:rPr>
            <w:color w:val="F5821F"/>
          </w:rPr>
          <w:t>in</w:t>
        </w:r>
        <w:r>
          <w:rPr>
            <w:color w:val="F5821F"/>
            <w:spacing w:val="9"/>
          </w:rPr>
          <w:t> </w:t>
        </w:r>
        <w:r>
          <w:rPr>
            <w:color w:val="F5821F"/>
          </w:rPr>
          <w:t>the</w:t>
        </w:r>
        <w:r>
          <w:rPr>
            <w:color w:val="F5821F"/>
            <w:spacing w:val="8"/>
          </w:rPr>
          <w:t> </w:t>
        </w:r>
        <w:r>
          <w:rPr>
            <w:color w:val="F5821F"/>
          </w:rPr>
          <w:t>age</w:t>
        </w:r>
        <w:r>
          <w:rPr>
            <w:color w:val="F5821F"/>
            <w:spacing w:val="9"/>
          </w:rPr>
          <w:t> </w:t>
        </w:r>
        <w:r>
          <w:rPr>
            <w:color w:val="F5821F"/>
          </w:rPr>
          <w:t>of</w:t>
        </w:r>
        <w:r>
          <w:rPr>
            <w:color w:val="F5821F"/>
            <w:spacing w:val="8"/>
          </w:rPr>
          <w:t> </w:t>
        </w:r>
        <w:r>
          <w:rPr>
            <w:color w:val="F5821F"/>
          </w:rPr>
          <w:t>generative</w:t>
        </w:r>
        <w:r>
          <w:rPr>
            <w:color w:val="F5821F"/>
            <w:spacing w:val="9"/>
          </w:rPr>
          <w:t> </w:t>
        </w:r>
        <w:r>
          <w:rPr>
            <w:color w:val="F5821F"/>
          </w:rPr>
          <w:t>AI</w:t>
        </w:r>
      </w:hyperlink>
      <w:r>
        <w:rPr>
          <w:color w:val="6E6158"/>
        </w:rPr>
        <w:t>,”</w:t>
      </w:r>
      <w:r>
        <w:rPr>
          <w:color w:val="6E6158"/>
          <w:spacing w:val="9"/>
        </w:rPr>
        <w:t> </w:t>
      </w:r>
      <w:r>
        <w:rPr>
          <w:color w:val="6E6158"/>
        </w:rPr>
        <w:t>Axios</w:t>
      </w:r>
      <w:r>
        <w:rPr>
          <w:color w:val="6E6158"/>
          <w:spacing w:val="8"/>
        </w:rPr>
        <w:t> </w:t>
      </w:r>
      <w:r>
        <w:rPr>
          <w:color w:val="6E6158"/>
        </w:rPr>
        <w:t>Phoenix,</w:t>
      </w:r>
      <w:r>
        <w:rPr>
          <w:color w:val="6E6158"/>
          <w:spacing w:val="9"/>
        </w:rPr>
        <w:t> </w:t>
      </w:r>
      <w:r>
        <w:rPr>
          <w:color w:val="6E6158"/>
        </w:rPr>
        <w:t>April</w:t>
      </w:r>
      <w:r>
        <w:rPr>
          <w:color w:val="6E6158"/>
          <w:spacing w:val="9"/>
        </w:rPr>
        <w:t> </w:t>
      </w:r>
      <w:r>
        <w:rPr>
          <w:color w:val="6E6158"/>
        </w:rPr>
        <w:t>1,</w:t>
      </w:r>
      <w:r>
        <w:rPr>
          <w:color w:val="6E6158"/>
          <w:spacing w:val="8"/>
        </w:rPr>
        <w:t> </w:t>
      </w:r>
      <w:r>
        <w:rPr>
          <w:color w:val="6E6158"/>
          <w:spacing w:val="-4"/>
        </w:rPr>
        <w:t>2026</w:t>
      </w:r>
    </w:p>
    <w:p>
      <w:pPr>
        <w:pStyle w:val="BodyText"/>
        <w:spacing w:line="302" w:lineRule="auto" w:before="174"/>
        <w:ind w:left="99" w:right="212"/>
      </w:pPr>
      <w:r>
        <w:rPr>
          <w:color w:val="6E6158"/>
        </w:rPr>
        <w:t>Author, “</w:t>
      </w:r>
      <w:hyperlink r:id="rId15">
        <w:r>
          <w:rPr>
            <w:color w:val="F5821F"/>
          </w:rPr>
          <w:t>Before you paste your “secret recipe” into ChatGPT</w:t>
        </w:r>
      </w:hyperlink>
      <w:r>
        <w:rPr>
          <w:color w:val="6E6158"/>
        </w:rPr>
        <w:t>,” Phoenix Business Journal, February</w:t>
      </w:r>
      <w:r>
        <w:rPr>
          <w:color w:val="6E6158"/>
          <w:spacing w:val="80"/>
        </w:rPr>
        <w:t> </w:t>
      </w:r>
      <w:r>
        <w:rPr>
          <w:color w:val="6E6158"/>
        </w:rPr>
        <w:t>1, 2026</w:t>
      </w:r>
    </w:p>
    <w:p>
      <w:pPr>
        <w:pStyle w:val="BodyText"/>
        <w:spacing w:before="113"/>
        <w:ind w:left="99"/>
      </w:pPr>
      <w:r>
        <w:rPr>
          <w:color w:val="6E6158"/>
        </w:rPr>
        <w:t>Featured,</w:t>
      </w:r>
      <w:r>
        <w:rPr>
          <w:color w:val="6E6158"/>
          <w:spacing w:val="10"/>
        </w:rPr>
        <w:t> </w:t>
      </w:r>
      <w:r>
        <w:rPr>
          <w:color w:val="6E6158"/>
        </w:rPr>
        <w:t>“</w:t>
      </w:r>
      <w:hyperlink r:id="rId16">
        <w:r>
          <w:rPr>
            <w:color w:val="F5821F"/>
          </w:rPr>
          <w:t>50</w:t>
        </w:r>
        <w:r>
          <w:rPr>
            <w:color w:val="F5821F"/>
            <w:spacing w:val="11"/>
          </w:rPr>
          <w:t> </w:t>
        </w:r>
        <w:r>
          <w:rPr>
            <w:color w:val="F5821F"/>
          </w:rPr>
          <w:t>emerging</w:t>
        </w:r>
        <w:r>
          <w:rPr>
            <w:color w:val="F5821F"/>
            <w:spacing w:val="11"/>
          </w:rPr>
          <w:t> </w:t>
        </w:r>
        <w:r>
          <w:rPr>
            <w:color w:val="F5821F"/>
          </w:rPr>
          <w:t>leaders</w:t>
        </w:r>
        <w:r>
          <w:rPr>
            <w:color w:val="F5821F"/>
            <w:spacing w:val="11"/>
          </w:rPr>
          <w:t> </w:t>
        </w:r>
        <w:r>
          <w:rPr>
            <w:color w:val="F5821F"/>
          </w:rPr>
          <w:t>in</w:t>
        </w:r>
        <w:r>
          <w:rPr>
            <w:color w:val="F5821F"/>
            <w:spacing w:val="10"/>
          </w:rPr>
          <w:t> </w:t>
        </w:r>
        <w:r>
          <w:rPr>
            <w:color w:val="F5821F"/>
          </w:rPr>
          <w:t>Arizona</w:t>
        </w:r>
        <w:r>
          <w:rPr>
            <w:color w:val="F5821F"/>
            <w:spacing w:val="11"/>
          </w:rPr>
          <w:t> </w:t>
        </w:r>
        <w:r>
          <w:rPr>
            <w:color w:val="F5821F"/>
          </w:rPr>
          <w:t>law</w:t>
        </w:r>
        <w:r>
          <w:rPr>
            <w:color w:val="F5821F"/>
            <w:spacing w:val="11"/>
          </w:rPr>
          <w:t> </w:t>
        </w:r>
        <w:r>
          <w:rPr>
            <w:color w:val="F5821F"/>
          </w:rPr>
          <w:t>for</w:t>
        </w:r>
        <w:r>
          <w:rPr>
            <w:color w:val="F5821F"/>
            <w:spacing w:val="11"/>
          </w:rPr>
          <w:t> </w:t>
        </w:r>
        <w:r>
          <w:rPr>
            <w:color w:val="F5821F"/>
          </w:rPr>
          <w:t>2025</w:t>
        </w:r>
      </w:hyperlink>
      <w:r>
        <w:rPr>
          <w:color w:val="6E6158"/>
        </w:rPr>
        <w:t>,”</w:t>
      </w:r>
      <w:r>
        <w:rPr>
          <w:color w:val="6E6158"/>
          <w:spacing w:val="11"/>
        </w:rPr>
        <w:t> </w:t>
      </w:r>
      <w:r>
        <w:rPr>
          <w:color w:val="6E6158"/>
        </w:rPr>
        <w:t>AZ</w:t>
      </w:r>
      <w:r>
        <w:rPr>
          <w:color w:val="6E6158"/>
          <w:spacing w:val="10"/>
        </w:rPr>
        <w:t> </w:t>
      </w:r>
      <w:r>
        <w:rPr>
          <w:color w:val="6E6158"/>
        </w:rPr>
        <w:t>Big</w:t>
      </w:r>
      <w:r>
        <w:rPr>
          <w:color w:val="6E6158"/>
          <w:spacing w:val="11"/>
        </w:rPr>
        <w:t> </w:t>
      </w:r>
      <w:r>
        <w:rPr>
          <w:color w:val="6E6158"/>
        </w:rPr>
        <w:t>Media,</w:t>
      </w:r>
      <w:r>
        <w:rPr>
          <w:color w:val="6E6158"/>
          <w:spacing w:val="11"/>
        </w:rPr>
        <w:t> </w:t>
      </w:r>
      <w:r>
        <w:rPr>
          <w:color w:val="6E6158"/>
        </w:rPr>
        <w:t>January</w:t>
      </w:r>
      <w:r>
        <w:rPr>
          <w:color w:val="6E6158"/>
          <w:spacing w:val="11"/>
        </w:rPr>
        <w:t> </w:t>
      </w:r>
      <w:r>
        <w:rPr>
          <w:color w:val="6E6158"/>
        </w:rPr>
        <w:t>24,</w:t>
      </w:r>
      <w:r>
        <w:rPr>
          <w:color w:val="6E6158"/>
          <w:spacing w:val="10"/>
        </w:rPr>
        <w:t> </w:t>
      </w:r>
      <w:r>
        <w:rPr>
          <w:color w:val="6E6158"/>
          <w:spacing w:val="-4"/>
        </w:rPr>
        <w:t>2025</w:t>
      </w:r>
    </w:p>
    <w:p>
      <w:pPr>
        <w:pStyle w:val="BodyText"/>
        <w:spacing w:after="0"/>
        <w:sectPr>
          <w:pgSz w:w="12240" w:h="15840"/>
          <w:pgMar w:top="500" w:bottom="280" w:left="1440" w:right="1440"/>
        </w:sectPr>
      </w:pPr>
    </w:p>
    <w:p>
      <w:pPr>
        <w:pStyle w:val="BodyText"/>
        <w:spacing w:line="292" w:lineRule="auto" w:before="83"/>
        <w:ind w:left="99" w:right="402"/>
      </w:pPr>
      <w:r>
        <w:rPr>
          <w:color w:val="6E6158"/>
        </w:rPr>
        <w:t>Author, “Vasta: James Earl Jones may be gone, but his voice lives on,” Daily Independent, December 23, 2024</w:t>
      </w:r>
    </w:p>
    <w:p>
      <w:pPr>
        <w:pStyle w:val="BodyText"/>
        <w:spacing w:line="292" w:lineRule="auto" w:before="132"/>
        <w:ind w:left="99" w:right="402"/>
      </w:pPr>
      <w:r>
        <w:rPr>
          <w:color w:val="6E6158"/>
        </w:rPr>
        <w:t>Author, </w:t>
      </w:r>
      <w:hyperlink r:id="rId17">
        <w:r>
          <w:rPr>
            <w:color w:val="F5821F"/>
          </w:rPr>
          <w:t>“Using Famous Artwork: Perils in the Public Domain,”</w:t>
        </w:r>
      </w:hyperlink>
      <w:r>
        <w:rPr>
          <w:color w:val="F5821F"/>
        </w:rPr>
        <w:t> </w:t>
      </w:r>
      <w:r>
        <w:rPr>
          <w:color w:val="6E6158"/>
        </w:rPr>
        <w:t>Greater Phoenix </w:t>
      </w:r>
      <w:r>
        <w:rPr>
          <w:color w:val="6E6158"/>
        </w:rPr>
        <w:t>InBusiness Magazine, October 2024</w:t>
      </w:r>
    </w:p>
    <w:p>
      <w:pPr>
        <w:pStyle w:val="BodyText"/>
        <w:spacing w:line="292" w:lineRule="auto" w:before="123"/>
        <w:ind w:left="99"/>
      </w:pPr>
      <w:r>
        <w:rPr>
          <w:color w:val="6E6158"/>
        </w:rPr>
        <w:t>Co-Author, “</w:t>
      </w:r>
      <w:hyperlink r:id="rId18">
        <w:r>
          <w:rPr>
            <w:color w:val="F5821F"/>
          </w:rPr>
          <w:t>Supreme Court: Damages Not Restricted to Just Three Years in Copyright Cases</w:t>
        </w:r>
      </w:hyperlink>
      <w:r>
        <w:rPr>
          <w:color w:val="6E6158"/>
        </w:rPr>
        <w:t>,” Fennemore Blog, May 22, 2024</w:t>
      </w:r>
    </w:p>
    <w:p>
      <w:pPr>
        <w:pStyle w:val="BodyText"/>
        <w:spacing w:line="292" w:lineRule="auto" w:before="131"/>
        <w:ind w:left="99" w:right="402"/>
      </w:pPr>
      <w:hyperlink r:id="rId19">
        <w:r>
          <w:rPr>
            <w:color w:val="F5821F"/>
          </w:rPr>
          <w:t>Author, “2 copyright pitfalls businesses should consider before profiting from famous art in the</w:t>
        </w:r>
      </w:hyperlink>
      <w:r>
        <w:rPr>
          <w:color w:val="F5821F"/>
        </w:rPr>
        <w:t> </w:t>
      </w:r>
      <w:hyperlink r:id="rId19">
        <w:r>
          <w:rPr>
            <w:color w:val="F5821F"/>
          </w:rPr>
          <w:t>public domain,” Phoenix Business Journal, April 1, 2024</w:t>
        </w:r>
      </w:hyperlink>
    </w:p>
    <w:p>
      <w:pPr>
        <w:pStyle w:val="BodyText"/>
        <w:spacing w:line="292" w:lineRule="auto" w:before="124"/>
        <w:ind w:left="99"/>
      </w:pPr>
      <w:hyperlink r:id="rId20">
        <w:r>
          <w:rPr>
            <w:color w:val="F5821F"/>
          </w:rPr>
          <w:t>Featuring, “A Special Father’s Day Edition Of “Thursday Thoughts” With Mario Vasta,” </w:t>
        </w:r>
        <w:r>
          <w:rPr>
            <w:color w:val="F5821F"/>
          </w:rPr>
          <w:t>Fennemore</w:t>
        </w:r>
      </w:hyperlink>
      <w:r>
        <w:rPr>
          <w:color w:val="F5821F"/>
        </w:rPr>
        <w:t> </w:t>
      </w:r>
      <w:hyperlink r:id="rId20">
        <w:r>
          <w:rPr>
            <w:color w:val="F5821F"/>
          </w:rPr>
          <w:t>Blog, June 15, 2023</w:t>
        </w:r>
      </w:hyperlink>
    </w:p>
    <w:p>
      <w:pPr>
        <w:pStyle w:val="BodyText"/>
        <w:spacing w:line="292" w:lineRule="auto" w:before="131"/>
        <w:ind w:left="99"/>
      </w:pPr>
      <w:r>
        <w:rPr>
          <w:color w:val="6E6158"/>
        </w:rPr>
        <w:t>Author, “Need to Know: Intellectual Property. Attorneys help businesses stay on top of social and</w:t>
      </w:r>
      <w:r>
        <w:rPr>
          <w:color w:val="6E6158"/>
          <w:spacing w:val="40"/>
        </w:rPr>
        <w:t> </w:t>
      </w:r>
      <w:r>
        <w:rPr>
          <w:color w:val="6E6158"/>
        </w:rPr>
        <w:t>regulatory changes,” inBusiness, July 12, 2022</w:t>
      </w:r>
    </w:p>
    <w:p>
      <w:pPr>
        <w:spacing w:before="113"/>
        <w:ind w:left="99" w:right="0" w:firstLine="0"/>
        <w:jc w:val="left"/>
        <w:rPr>
          <w:sz w:val="19"/>
        </w:rPr>
      </w:pPr>
      <w:r>
        <w:rPr>
          <w:color w:val="6E6158"/>
          <w:sz w:val="19"/>
        </w:rPr>
        <w:t>Author, “Domain Hijackers</w:t>
      </w:r>
      <w:r>
        <w:rPr>
          <w:color w:val="6E6158"/>
          <w:spacing w:val="1"/>
          <w:sz w:val="19"/>
        </w:rPr>
        <w:t> </w:t>
      </w:r>
      <w:r>
        <w:rPr>
          <w:color w:val="6E6158"/>
          <w:sz w:val="19"/>
        </w:rPr>
        <w:t>Prey on</w:t>
      </w:r>
      <w:r>
        <w:rPr>
          <w:color w:val="6E6158"/>
          <w:spacing w:val="1"/>
          <w:sz w:val="19"/>
        </w:rPr>
        <w:t> </w:t>
      </w:r>
      <w:r>
        <w:rPr>
          <w:color w:val="6E6158"/>
          <w:sz w:val="19"/>
        </w:rPr>
        <w:t>Business Websites,”</w:t>
      </w:r>
      <w:r>
        <w:rPr>
          <w:color w:val="6E6158"/>
          <w:spacing w:val="1"/>
          <w:sz w:val="19"/>
        </w:rPr>
        <w:t> </w:t>
      </w:r>
      <w:r>
        <w:rPr>
          <w:i/>
          <w:color w:val="6E6158"/>
          <w:sz w:val="20"/>
        </w:rPr>
        <w:t>inBusiness</w:t>
      </w:r>
      <w:r>
        <w:rPr>
          <w:i/>
          <w:color w:val="6E6158"/>
          <w:spacing w:val="-3"/>
          <w:sz w:val="20"/>
        </w:rPr>
        <w:t> </w:t>
      </w:r>
      <w:r>
        <w:rPr>
          <w:i/>
          <w:color w:val="6E6158"/>
          <w:sz w:val="20"/>
        </w:rPr>
        <w:t>Greater</w:t>
      </w:r>
      <w:r>
        <w:rPr>
          <w:i/>
          <w:color w:val="6E6158"/>
          <w:spacing w:val="-2"/>
          <w:sz w:val="20"/>
        </w:rPr>
        <w:t> </w:t>
      </w:r>
      <w:r>
        <w:rPr>
          <w:i/>
          <w:color w:val="6E6158"/>
          <w:sz w:val="20"/>
        </w:rPr>
        <w:t>Phoenix</w:t>
      </w:r>
      <w:r>
        <w:rPr>
          <w:color w:val="6E6158"/>
          <w:sz w:val="19"/>
        </w:rPr>
        <w:t>, July</w:t>
      </w:r>
      <w:r>
        <w:rPr>
          <w:color w:val="6E6158"/>
          <w:spacing w:val="1"/>
          <w:sz w:val="19"/>
        </w:rPr>
        <w:t> </w:t>
      </w:r>
      <w:r>
        <w:rPr>
          <w:color w:val="6E6158"/>
          <w:spacing w:val="-4"/>
          <w:sz w:val="19"/>
        </w:rPr>
        <w:t>2022</w:t>
      </w:r>
    </w:p>
    <w:p>
      <w:pPr>
        <w:pStyle w:val="BodyText"/>
        <w:spacing w:line="302" w:lineRule="auto" w:before="172"/>
        <w:ind w:left="99" w:right="402"/>
      </w:pPr>
      <w:r>
        <w:rPr>
          <w:color w:val="6E6158"/>
        </w:rPr>
        <w:t>Quoted, “Could Arts District become ‘blank slate?’ Concerns grow after one </w:t>
      </w:r>
      <w:r>
        <w:rPr>
          <w:color w:val="6E6158"/>
        </w:rPr>
        <w:t>mural’s destruction,” Fox 5, June 1, 2022</w:t>
      </w:r>
    </w:p>
    <w:p>
      <w:pPr>
        <w:pStyle w:val="BodyText"/>
        <w:spacing w:line="292" w:lineRule="auto" w:before="113"/>
        <w:ind w:left="99" w:right="402"/>
      </w:pPr>
      <w:r>
        <w:rPr>
          <w:color w:val="6E6158"/>
        </w:rPr>
        <w:t>Author, “Legal Perspective: Protecting your business website from fraudsters looking to </w:t>
      </w:r>
      <w:r>
        <w:rPr>
          <w:color w:val="6E6158"/>
        </w:rPr>
        <w:t>hijack your clients,” Tucson Business, May 23, 2022</w:t>
      </w:r>
    </w:p>
    <w:p>
      <w:pPr>
        <w:pStyle w:val="BodyText"/>
        <w:spacing w:line="420" w:lineRule="auto" w:before="131"/>
        <w:ind w:left="99"/>
      </w:pPr>
      <w:r>
        <w:rPr>
          <w:color w:val="6E6158"/>
        </w:rPr>
        <w:t>Author, “How to protect your business from fraudsters,” Phoenix Business Journal, May 10, 2022</w:t>
      </w:r>
      <w:r>
        <w:rPr>
          <w:color w:val="6E6158"/>
          <w:spacing w:val="40"/>
        </w:rPr>
        <w:t> </w:t>
      </w:r>
      <w:r>
        <w:rPr>
          <w:color w:val="6E6158"/>
        </w:rPr>
        <w:t>Quoted, “Feds Seek Win For Ariz. Apache Tribe In Gila River Water War,” Law360, March 7, 2022</w:t>
      </w:r>
    </w:p>
    <w:p>
      <w:pPr>
        <w:pStyle w:val="BodyText"/>
        <w:spacing w:line="292" w:lineRule="auto"/>
        <w:ind w:left="99" w:right="212"/>
      </w:pPr>
      <w:hyperlink r:id="rId21">
        <w:r>
          <w:rPr>
            <w:color w:val="FF8100"/>
          </w:rPr>
          <w:t>Co-author, “Troll Control – Reactions to Copyright Trolls | Part Two,” Fennemore Client Alert, May</w:t>
        </w:r>
      </w:hyperlink>
      <w:r>
        <w:rPr>
          <w:color w:val="FF8100"/>
        </w:rPr>
        <w:t> </w:t>
      </w:r>
      <w:hyperlink r:id="rId21">
        <w:r>
          <w:rPr>
            <w:color w:val="FF8100"/>
          </w:rPr>
          <w:t>27, 2021</w:t>
        </w:r>
      </w:hyperlink>
    </w:p>
    <w:p>
      <w:pPr>
        <w:pStyle w:val="BodyText"/>
        <w:spacing w:line="292" w:lineRule="auto" w:before="130"/>
        <w:ind w:left="99" w:right="212"/>
      </w:pPr>
      <w:hyperlink r:id="rId22">
        <w:r>
          <w:rPr>
            <w:color w:val="FF8100"/>
          </w:rPr>
          <w:t>Co-author, “Troll Control – Reactions to Copyright Trolls | Part One,” Fennemore Client Alert, May</w:t>
        </w:r>
      </w:hyperlink>
      <w:r>
        <w:rPr>
          <w:color w:val="FF8100"/>
        </w:rPr>
        <w:t> </w:t>
      </w:r>
      <w:hyperlink r:id="rId22">
        <w:r>
          <w:rPr>
            <w:color w:val="FF8100"/>
          </w:rPr>
          <w:t>20, 2021</w:t>
        </w:r>
      </w:hyperlink>
    </w:p>
    <w:p>
      <w:pPr>
        <w:spacing w:line="278" w:lineRule="auto" w:before="113"/>
        <w:ind w:left="99" w:right="402" w:firstLine="0"/>
        <w:jc w:val="left"/>
        <w:rPr>
          <w:sz w:val="19"/>
        </w:rPr>
      </w:pPr>
      <w:hyperlink r:id="rId23">
        <w:r>
          <w:rPr>
            <w:color w:val="FF8100"/>
            <w:sz w:val="19"/>
          </w:rPr>
          <w:t>Co-author, “There is no such thing as a permanent golf course view. Or is there?”</w:t>
        </w:r>
      </w:hyperlink>
      <w:r>
        <w:rPr>
          <w:color w:val="FF8100"/>
          <w:sz w:val="19"/>
        </w:rPr>
        <w:t> </w:t>
      </w:r>
      <w:hyperlink r:id="rId23">
        <w:r>
          <w:rPr>
            <w:i/>
            <w:color w:val="FF8100"/>
            <w:sz w:val="20"/>
          </w:rPr>
          <w:t>Arizona</w:t>
        </w:r>
      </w:hyperlink>
      <w:r>
        <w:rPr>
          <w:i/>
          <w:color w:val="FF8100"/>
          <w:sz w:val="20"/>
        </w:rPr>
        <w:t> </w:t>
      </w:r>
      <w:hyperlink r:id="rId23">
        <w:r>
          <w:rPr>
            <w:i/>
            <w:color w:val="FF8100"/>
            <w:sz w:val="20"/>
          </w:rPr>
          <w:t>Attorney Magazine,</w:t>
        </w:r>
      </w:hyperlink>
      <w:r>
        <w:rPr>
          <w:i/>
          <w:color w:val="FF8100"/>
          <w:sz w:val="20"/>
        </w:rPr>
        <w:t> </w:t>
      </w:r>
      <w:hyperlink r:id="rId23">
        <w:r>
          <w:rPr>
            <w:color w:val="FF8100"/>
            <w:sz w:val="19"/>
          </w:rPr>
          <w:t>October 1, 2020</w:t>
        </w:r>
      </w:hyperlink>
    </w:p>
    <w:p>
      <w:pPr>
        <w:pStyle w:val="BodyText"/>
        <w:spacing w:line="408" w:lineRule="auto" w:before="141"/>
        <w:ind w:left="99"/>
      </w:pPr>
      <w:hyperlink r:id="rId24">
        <w:r>
          <w:rPr>
            <w:color w:val="FF8100"/>
          </w:rPr>
          <w:t>Co-author, “Protection for Street Art on Buildings,” Fennemore Client Alert, September 2, </w:t>
        </w:r>
        <w:r>
          <w:rPr>
            <w:color w:val="FF8100"/>
          </w:rPr>
          <w:t>2020</w:t>
        </w:r>
      </w:hyperlink>
      <w:r>
        <w:rPr>
          <w:color w:val="FF8100"/>
        </w:rPr>
        <w:t> </w:t>
      </w:r>
      <w:r>
        <w:rPr>
          <w:color w:val="6E6158"/>
        </w:rPr>
        <w:t>Quoted, “Business Briefcase,” </w:t>
      </w:r>
      <w:r>
        <w:rPr>
          <w:i/>
          <w:color w:val="6E6158"/>
          <w:sz w:val="20"/>
        </w:rPr>
        <w:t>Peoria Times</w:t>
      </w:r>
      <w:r>
        <w:rPr>
          <w:color w:val="6E6158"/>
        </w:rPr>
        <w:t>, May 21, 2020</w:t>
      </w:r>
    </w:p>
    <w:p>
      <w:pPr>
        <w:pStyle w:val="Heading1"/>
        <w:spacing w:before="284"/>
      </w:pPr>
      <w:r>
        <w:rPr>
          <w:color w:val="FF8100"/>
          <w:spacing w:val="-2"/>
        </w:rPr>
        <w:t>ADMISSIONS</w:t>
      </w:r>
    </w:p>
    <w:p>
      <w:pPr>
        <w:pStyle w:val="BodyText"/>
        <w:spacing w:before="28"/>
        <w:rPr>
          <w:b/>
        </w:rPr>
      </w:pPr>
    </w:p>
    <w:p>
      <w:pPr>
        <w:pStyle w:val="BodyText"/>
        <w:ind w:left="99"/>
      </w:pPr>
      <w:r>
        <w:rPr>
          <w:color w:val="6E6158"/>
          <w:spacing w:val="-2"/>
        </w:rPr>
        <w:t>Arizona</w:t>
      </w:r>
    </w:p>
    <w:p>
      <w:pPr>
        <w:pStyle w:val="BodyText"/>
        <w:spacing w:before="182"/>
        <w:ind w:left="99"/>
      </w:pPr>
      <w:r>
        <w:rPr>
          <w:color w:val="6E6158"/>
        </w:rPr>
        <w:t>U.S.</w:t>
      </w:r>
      <w:r>
        <w:rPr>
          <w:color w:val="6E6158"/>
          <w:spacing w:val="9"/>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Arizona</w:t>
      </w:r>
    </w:p>
    <w:p>
      <w:pPr>
        <w:pStyle w:val="BodyText"/>
        <w:spacing w:before="174"/>
        <w:ind w:left="99"/>
      </w:pPr>
      <w:r>
        <w:rPr>
          <w:color w:val="6E6158"/>
        </w:rPr>
        <w:t>U.S.</w:t>
      </w:r>
      <w:r>
        <w:rPr>
          <w:color w:val="6E6158"/>
          <w:spacing w:val="10"/>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0"/>
        </w:rPr>
        <w:t> </w:t>
      </w:r>
      <w:r>
        <w:rPr>
          <w:color w:val="6E6158"/>
        </w:rPr>
        <w:t>Ninth</w:t>
      </w:r>
      <w:r>
        <w:rPr>
          <w:color w:val="6E6158"/>
          <w:spacing w:val="10"/>
        </w:rPr>
        <w:t> </w:t>
      </w:r>
      <w:r>
        <w:rPr>
          <w:color w:val="6E6158"/>
          <w:spacing w:val="-2"/>
        </w:rPr>
        <w:t>Circuit</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mvasta@fennemorelaw.com" TargetMode="External"/><Relationship Id="rId11" Type="http://schemas.openxmlformats.org/officeDocument/2006/relationships/hyperlink" Target="https://inbusinessphx.com/technology-innovation/paste-prompt-regret-the-ip-risks-of-everyday-ai" TargetMode="External"/><Relationship Id="rId12" Type="http://schemas.openxmlformats.org/officeDocument/2006/relationships/hyperlink" Target="https://azbigmedia.com/business/paste-prompt-regret-the-ip-risks-of-everyday-ai/" TargetMode="External"/><Relationship Id="rId13" Type="http://schemas.openxmlformats.org/officeDocument/2006/relationships/hyperlink" Target="https://phoenixchamber.com/2026/04/20/paste-prompt-regret-the-ip-risks-of-everyday-ai/" TargetMode="External"/><Relationship Id="rId14" Type="http://schemas.openxmlformats.org/officeDocument/2006/relationships/hyperlink" Target="https://www.axios.com/local/phoenix/sponsored/protecting-your-ip-in-the-age-of-generative-ai" TargetMode="External"/><Relationship Id="rId15" Type="http://schemas.openxmlformats.org/officeDocument/2006/relationships/hyperlink" Target="https://www.bizjournals.com/phoenix/news/2026/02/01/before-you-paste-your-secret-recipe-into-chatgpt.html" TargetMode="External"/><Relationship Id="rId16" Type="http://schemas.openxmlformats.org/officeDocument/2006/relationships/hyperlink" Target="https://azbigmedia.com/business/50-emerging-leaders-in-arizona-law-for-2025/" TargetMode="External"/><Relationship Id="rId17" Type="http://schemas.openxmlformats.org/officeDocument/2006/relationships/hyperlink" Target="https://inbusinessphx.com/legal-regulations/using-famous-artwork-perils-in-the-public-domain#google_vignette" TargetMode="External"/><Relationship Id="rId18" Type="http://schemas.openxmlformats.org/officeDocument/2006/relationships/hyperlink" Target="https://www.fennemorelaw.com/supreme-court-damages-not-restricted-to-just-three-years-in-copyright-cases/" TargetMode="External"/><Relationship Id="rId19" Type="http://schemas.openxmlformats.org/officeDocument/2006/relationships/hyperlink" Target="https://www.bizjournals.com/phoenix/news/2024/04/01/copyright-pitfalls-businesses-art-public-domain.html" TargetMode="External"/><Relationship Id="rId20" Type="http://schemas.openxmlformats.org/officeDocument/2006/relationships/hyperlink" Target="https://www.fennemorelaw.com/there-is-no-such-thing-as-work-life-balance-its-always-an-imbalance-one-way-or-another/" TargetMode="External"/><Relationship Id="rId21" Type="http://schemas.openxmlformats.org/officeDocument/2006/relationships/hyperlink" Target="https://www.fennemorelaw.com/insights/newsletters/2021/troll-control-reactions-to-copyright-trolls-part-2" TargetMode="External"/><Relationship Id="rId22" Type="http://schemas.openxmlformats.org/officeDocument/2006/relationships/hyperlink" Target="https://www.fennemorelaw.com/insights/newsletters/2021/troll-control-reactions-to-copyright-trolls-part-1" TargetMode="External"/><Relationship Id="rId23" Type="http://schemas.openxmlformats.org/officeDocument/2006/relationships/hyperlink" Target="https://www.azattorneymag-digital.com/azattorneymag/202010/MobilePagedReplica.action?fbclid=IwAR1mvzFtc5qXLVXusHFieMbZYOUs6ms4vQ_APX7ATuVXsyuxWgQLWIVMjes&amp;pm=2&amp;folio=12&amp;pg15" TargetMode="External"/><Relationship Id="rId24" Type="http://schemas.openxmlformats.org/officeDocument/2006/relationships/hyperlink" Target="https://www.fennemorelaw.com/insights/newsletters/2020/protection-for-street-art-on-buil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Mario C. Vasta - Fennemore</dc:title>
  <dcterms:created xsi:type="dcterms:W3CDTF">2026-07-21T23:46:47Z</dcterms:created>
  <dcterms:modified xsi:type="dcterms:W3CDTF">2026-07-21T23:46:47Z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2026-07-21T00:00:00Z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2026-07-21T00:00:00Z</vt:filetime>
  </property>
  <property fmtid="{D5CDD505-2E9C-101B-9397-08002B2CF9AE}" pid="6" name="Producer">
    <vt:lpwstr>Skia/PDF m150</vt:lpwstr>
  </property>
</Properties>
</file>