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7" w:lineRule="auto"/>
        <w:ind w:left="99" w:right="2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Spencer Shockness 4443web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43511" y="763308"/>
                            <a:ext cx="143319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SPENCER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SHOCKNESS</w:t>
                              </w:r>
                            </w:p>
                            <w:p>
                              <w:pPr>
                                <w:spacing w:before="48"/>
                                <w:ind w:left="0" w:right="17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133494"/>
                            <a:ext cx="19558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602.916.5312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sshockness@fennemorelaw.com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863381" y="3756030"/>
                            <a:ext cx="2360930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optimist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sees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opportunity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every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16"/>
                                </w:rPr>
                                <w:t>difficulty.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Winston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Churchill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548446"/>
                            <a:ext cx="1801495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SPENCER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FF8100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8100"/>
                                  <w:spacing w:val="-2"/>
                                  <w:sz w:val="24"/>
                                </w:rPr>
                                <w:t>SHOCKNESS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Spencer Shockness 4443web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88;top:-6403;width:2257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SPENCER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SHOCKNESS</w:t>
                        </w:r>
                      </w:p>
                      <w:p>
                        <w:pPr>
                          <w:spacing w:before="48"/>
                          <w:ind w:left="0" w:right="17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4245;width:308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602.916.5312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sshockness@fennemorelaw.com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270;top:-1690;width:3718;height:485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optimist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sees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opportunity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every</w:t>
                        </w:r>
                        <w:r>
                          <w:rPr>
                            <w:color w:val="FFFFFF"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16"/>
                          </w:rPr>
                          <w:t>difficulty.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Winston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Churchill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837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FF8100"/>
                            <w:sz w:val="24"/>
                          </w:rPr>
                          <w:t>SPENCER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FF8100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FF8100"/>
                            <w:spacing w:val="-2"/>
                            <w:sz w:val="24"/>
                          </w:rPr>
                          <w:t>SHOCKNESS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Spencer</w:t>
      </w:r>
      <w:r>
        <w:rPr>
          <w:color w:val="6E6158"/>
          <w:spacing w:val="32"/>
        </w:rPr>
        <w:t> </w:t>
      </w:r>
      <w:r>
        <w:rPr>
          <w:color w:val="6E6158"/>
        </w:rPr>
        <w:t>Shockness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an</w:t>
      </w:r>
      <w:r>
        <w:rPr>
          <w:color w:val="6E6158"/>
          <w:spacing w:val="32"/>
        </w:rPr>
        <w:t> </w:t>
      </w:r>
      <w:r>
        <w:rPr>
          <w:color w:val="6E6158"/>
        </w:rPr>
        <w:t>associate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Fennemore’s</w:t>
      </w:r>
      <w:r>
        <w:rPr>
          <w:color w:val="6E6158"/>
          <w:spacing w:val="32"/>
        </w:rPr>
        <w:t> </w:t>
      </w:r>
      <w:r>
        <w:rPr>
          <w:color w:val="6E6158"/>
        </w:rPr>
        <w:t>Business</w:t>
      </w:r>
      <w:r>
        <w:rPr>
          <w:color w:val="6E6158"/>
          <w:spacing w:val="32"/>
        </w:rPr>
        <w:t> </w:t>
      </w:r>
      <w:r>
        <w:rPr>
          <w:color w:val="6E6158"/>
        </w:rPr>
        <w:t>Litigation</w:t>
      </w:r>
      <w:r>
        <w:rPr>
          <w:color w:val="6E6158"/>
          <w:spacing w:val="32"/>
        </w:rPr>
        <w:t> </w:t>
      </w:r>
      <w:r>
        <w:rPr>
          <w:color w:val="6E6158"/>
        </w:rPr>
        <w:t>practice</w:t>
      </w:r>
      <w:r>
        <w:rPr>
          <w:color w:val="6E6158"/>
          <w:spacing w:val="32"/>
        </w:rPr>
        <w:t> </w:t>
      </w:r>
      <w:r>
        <w:rPr>
          <w:color w:val="6E6158"/>
        </w:rPr>
        <w:t>group</w:t>
      </w:r>
      <w:r>
        <w:rPr>
          <w:color w:val="6E6158"/>
          <w:spacing w:val="32"/>
        </w:rPr>
        <w:t> </w:t>
      </w:r>
      <w:r>
        <w:rPr>
          <w:color w:val="6E6158"/>
        </w:rPr>
        <w:t>based</w:t>
      </w:r>
      <w:r>
        <w:rPr>
          <w:color w:val="6E6158"/>
          <w:spacing w:val="32"/>
        </w:rPr>
        <w:t> </w:t>
      </w:r>
      <w:r>
        <w:rPr>
          <w:color w:val="6E6158"/>
        </w:rPr>
        <w:t>in the firm’s Phoenix office. He represents businesses, business owners, and organizations in a broad</w:t>
      </w:r>
      <w:r>
        <w:rPr>
          <w:color w:val="6E6158"/>
          <w:spacing w:val="40"/>
        </w:rPr>
        <w:t> </w:t>
      </w:r>
      <w:r>
        <w:rPr>
          <w:color w:val="6E6158"/>
        </w:rPr>
        <w:t>range</w:t>
      </w:r>
      <w:r>
        <w:rPr>
          <w:color w:val="6E6158"/>
          <w:spacing w:val="37"/>
        </w:rPr>
        <w:t> </w:t>
      </w:r>
      <w:r>
        <w:rPr>
          <w:color w:val="6E6158"/>
        </w:rPr>
        <w:t>of</w:t>
      </w:r>
      <w:r>
        <w:rPr>
          <w:color w:val="6E6158"/>
          <w:spacing w:val="37"/>
        </w:rPr>
        <w:t> </w:t>
      </w:r>
      <w:r>
        <w:rPr>
          <w:color w:val="6E6158"/>
        </w:rPr>
        <w:t>commercial</w:t>
      </w:r>
      <w:r>
        <w:rPr>
          <w:color w:val="6E6158"/>
          <w:spacing w:val="37"/>
        </w:rPr>
        <w:t> </w:t>
      </w:r>
      <w:r>
        <w:rPr>
          <w:color w:val="6E6158"/>
        </w:rPr>
        <w:t>litigation</w:t>
      </w:r>
      <w:r>
        <w:rPr>
          <w:color w:val="6E6158"/>
          <w:spacing w:val="37"/>
        </w:rPr>
        <w:t> </w:t>
      </w:r>
      <w:r>
        <w:rPr>
          <w:color w:val="6E6158"/>
        </w:rPr>
        <w:t>matters,</w:t>
      </w:r>
      <w:r>
        <w:rPr>
          <w:color w:val="6E6158"/>
          <w:spacing w:val="37"/>
        </w:rPr>
        <w:t> </w:t>
      </w:r>
      <w:r>
        <w:rPr>
          <w:color w:val="6E6158"/>
        </w:rPr>
        <w:t>helping</w:t>
      </w:r>
      <w:r>
        <w:rPr>
          <w:color w:val="6E6158"/>
          <w:spacing w:val="37"/>
        </w:rPr>
        <w:t> </w:t>
      </w:r>
      <w:r>
        <w:rPr>
          <w:color w:val="6E6158"/>
        </w:rPr>
        <w:t>clients</w:t>
      </w:r>
      <w:r>
        <w:rPr>
          <w:color w:val="6E6158"/>
          <w:spacing w:val="37"/>
        </w:rPr>
        <w:t> </w:t>
      </w:r>
      <w:r>
        <w:rPr>
          <w:color w:val="6E6158"/>
        </w:rPr>
        <w:t>resolve</w:t>
      </w:r>
      <w:r>
        <w:rPr>
          <w:color w:val="6E6158"/>
          <w:spacing w:val="37"/>
        </w:rPr>
        <w:t> </w:t>
      </w:r>
      <w:r>
        <w:rPr>
          <w:color w:val="6E6158"/>
        </w:rPr>
        <w:t>complex</w:t>
      </w:r>
      <w:r>
        <w:rPr>
          <w:color w:val="6E6158"/>
          <w:spacing w:val="37"/>
        </w:rPr>
        <w:t> </w:t>
      </w:r>
      <w:r>
        <w:rPr>
          <w:color w:val="6E6158"/>
        </w:rPr>
        <w:t>disputes</w:t>
      </w:r>
      <w:r>
        <w:rPr>
          <w:color w:val="6E6158"/>
          <w:spacing w:val="37"/>
        </w:rPr>
        <w:t> </w:t>
      </w:r>
      <w:r>
        <w:rPr>
          <w:color w:val="6E6158"/>
        </w:rPr>
        <w:t>through</w:t>
      </w:r>
    </w:p>
    <w:p>
      <w:pPr>
        <w:pStyle w:val="BodyText"/>
        <w:spacing w:line="295" w:lineRule="auto"/>
        <w:ind w:left="99" w:right="213"/>
      </w:pPr>
      <w:r>
        <w:rPr>
          <w:color w:val="6E6158"/>
        </w:rPr>
        <w:t>negotiation, mediation, arbitration, and trial. His practice includes business disputes,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litigation, commercial litigation, product liability matters, collections, and other civil litigation</w:t>
      </w:r>
      <w:r>
        <w:rPr>
          <w:color w:val="6E6158"/>
          <w:spacing w:val="40"/>
        </w:rPr>
        <w:t> </w:t>
      </w:r>
      <w:r>
        <w:rPr>
          <w:color w:val="6E6158"/>
        </w:rPr>
        <w:t>involving business interests. Spencer also serves as Chair of Fennemore’s Diversity &amp; Inclusion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Council.</w:t>
      </w:r>
    </w:p>
    <w:p>
      <w:pPr>
        <w:pStyle w:val="BodyText"/>
        <w:spacing w:line="295" w:lineRule="auto" w:before="192"/>
        <w:ind w:left="99" w:right="213"/>
      </w:pPr>
      <w:r>
        <w:rPr>
          <w:color w:val="6E6158"/>
        </w:rPr>
        <w:t>Spencer works closely with clients to develop practical litigation strategies that align with their</w:t>
      </w:r>
      <w:r>
        <w:rPr>
          <w:color w:val="6E6158"/>
          <w:spacing w:val="40"/>
        </w:rPr>
        <w:t> </w:t>
      </w:r>
      <w:r>
        <w:rPr>
          <w:color w:val="6E6158"/>
        </w:rPr>
        <w:t>business objectives, whether resolving disputes through favorable settlements or advocating </w:t>
      </w:r>
      <w:r>
        <w:rPr>
          <w:color w:val="6E6158"/>
        </w:rPr>
        <w:t>for</w:t>
      </w:r>
      <w:r>
        <w:rPr>
          <w:color w:val="6E6158"/>
          <w:spacing w:val="40"/>
        </w:rPr>
        <w:t> </w:t>
      </w:r>
      <w:r>
        <w:rPr>
          <w:color w:val="6E6158"/>
        </w:rPr>
        <w:t>them in court.</w:t>
      </w:r>
      <w:r>
        <w:rPr>
          <w:color w:val="6E6158"/>
          <w:spacing w:val="80"/>
        </w:rPr>
        <w:t> </w:t>
      </w:r>
      <w:r>
        <w:rPr>
          <w:color w:val="6E6158"/>
        </w:rPr>
        <w:t>Before joining Fennemore as an attorney, Spencer was a summer associate with the</w:t>
      </w:r>
      <w:r>
        <w:rPr>
          <w:color w:val="6E6158"/>
          <w:spacing w:val="28"/>
        </w:rPr>
        <w:t> </w:t>
      </w:r>
      <w:r>
        <w:rPr>
          <w:color w:val="6E6158"/>
        </w:rPr>
        <w:t>firm.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interest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product</w:t>
      </w:r>
      <w:r>
        <w:rPr>
          <w:color w:val="6E6158"/>
          <w:spacing w:val="28"/>
        </w:rPr>
        <w:t> </w:t>
      </w:r>
      <w:r>
        <w:rPr>
          <w:color w:val="6E6158"/>
        </w:rPr>
        <w:t>liability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began</w:t>
      </w:r>
      <w:r>
        <w:rPr>
          <w:color w:val="6E6158"/>
          <w:spacing w:val="28"/>
        </w:rPr>
        <w:t> </w:t>
      </w:r>
      <w:r>
        <w:rPr>
          <w:color w:val="6E6158"/>
        </w:rPr>
        <w:t>while</w:t>
      </w:r>
      <w:r>
        <w:rPr>
          <w:color w:val="6E6158"/>
          <w:spacing w:val="28"/>
        </w:rPr>
        <w:t> </w:t>
      </w:r>
      <w:r>
        <w:rPr>
          <w:color w:val="6E6158"/>
        </w:rPr>
        <w:t>earning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undergraduate</w:t>
      </w:r>
      <w:r>
        <w:rPr>
          <w:color w:val="6E6158"/>
          <w:spacing w:val="28"/>
        </w:rPr>
        <w:t> </w:t>
      </w:r>
      <w:r>
        <w:rPr>
          <w:color w:val="6E6158"/>
        </w:rPr>
        <w:t>degree</w:t>
      </w:r>
      <w:r>
        <w:rPr>
          <w:color w:val="6E6158"/>
          <w:spacing w:val="28"/>
        </w:rPr>
        <w:t> </w:t>
      </w:r>
      <w:r>
        <w:rPr>
          <w:color w:val="6E6158"/>
        </w:rPr>
        <w:t>at</w:t>
      </w:r>
    </w:p>
    <w:p>
      <w:pPr>
        <w:pStyle w:val="BodyText"/>
        <w:spacing w:before="2"/>
        <w:ind w:left="99"/>
      </w:pP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continued</w:t>
      </w:r>
      <w:r>
        <w:rPr>
          <w:color w:val="6E6158"/>
          <w:spacing w:val="13"/>
        </w:rPr>
        <w:t> </w:t>
      </w:r>
      <w:r>
        <w:rPr>
          <w:color w:val="6E6158"/>
        </w:rPr>
        <w:t>through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school.</w:t>
      </w:r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161"/>
      </w:pPr>
      <w:r>
        <w:rPr>
          <w:color w:val="6E6158"/>
        </w:rPr>
        <w:t>As a member of the Arizona State Law Journal, he published scholarship examining Amazon’s</w:t>
      </w:r>
      <w:r>
        <w:rPr>
          <w:color w:val="6E6158"/>
          <w:spacing w:val="40"/>
        </w:rPr>
        <w:t> </w:t>
      </w:r>
      <w:r>
        <w:rPr>
          <w:color w:val="6E6158"/>
        </w:rPr>
        <w:t>potential liability under Arizona law for defective products sold through its online marketplace,</w:t>
      </w:r>
      <w:r>
        <w:rPr>
          <w:color w:val="6E6158"/>
          <w:spacing w:val="40"/>
        </w:rPr>
        <w:t> </w:t>
      </w:r>
      <w:r>
        <w:rPr>
          <w:color w:val="6E6158"/>
        </w:rPr>
        <w:t>reflecting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longstanding</w:t>
      </w:r>
      <w:r>
        <w:rPr>
          <w:color w:val="6E6158"/>
          <w:spacing w:val="31"/>
        </w:rPr>
        <w:t> </w:t>
      </w:r>
      <w:r>
        <w:rPr>
          <w:color w:val="6E6158"/>
        </w:rPr>
        <w:t>interest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evolving</w:t>
      </w:r>
      <w:r>
        <w:rPr>
          <w:color w:val="6E6158"/>
          <w:spacing w:val="31"/>
        </w:rPr>
        <w:t> </w:t>
      </w:r>
      <w:r>
        <w:rPr>
          <w:color w:val="6E6158"/>
        </w:rPr>
        <w:t>intersection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product</w:t>
      </w:r>
      <w:r>
        <w:rPr>
          <w:color w:val="6E6158"/>
          <w:spacing w:val="31"/>
        </w:rPr>
        <w:t> </w:t>
      </w:r>
      <w:r>
        <w:rPr>
          <w:color w:val="6E6158"/>
        </w:rPr>
        <w:t>liability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e-commerce. Spencer’s background as a member of Arizona State University’s debate team</w:t>
      </w:r>
      <w:r>
        <w:rPr>
          <w:color w:val="6E6158"/>
          <w:spacing w:val="80"/>
        </w:rPr>
        <w:t> </w:t>
      </w:r>
      <w:r>
        <w:rPr>
          <w:color w:val="6E6158"/>
        </w:rPr>
        <w:t>helped shape the advocacy and analytical skills he brings to every case. He is passionate </w:t>
      </w:r>
      <w:r>
        <w:rPr>
          <w:color w:val="6E6158"/>
        </w:rPr>
        <w:t>about</w:t>
      </w:r>
      <w:r>
        <w:rPr>
          <w:color w:val="6E6158"/>
          <w:spacing w:val="40"/>
        </w:rPr>
        <w:t> </w:t>
      </w:r>
      <w:r>
        <w:rPr>
          <w:color w:val="6E6158"/>
        </w:rPr>
        <w:t>helping clients navigate complex legal challenges and finding efficient, effective solutions to</w:t>
      </w:r>
      <w:r>
        <w:rPr>
          <w:color w:val="6E6158"/>
          <w:spacing w:val="40"/>
        </w:rPr>
        <w:t> </w:t>
      </w:r>
      <w:r>
        <w:rPr>
          <w:color w:val="6E6158"/>
        </w:rPr>
        <w:t>business disputes.</w:t>
      </w:r>
    </w:p>
    <w:p>
      <w:pPr>
        <w:pStyle w:val="BodyText"/>
        <w:spacing w:line="297" w:lineRule="auto" w:before="199"/>
        <w:ind w:left="99" w:right="213"/>
      </w:pPr>
      <w:r>
        <w:rPr>
          <w:color w:val="6E6158"/>
        </w:rPr>
        <w:t>Outside the office, Spencer officiates college football games for the NAIA and NCAA, as well as</w:t>
      </w:r>
      <w:r>
        <w:rPr>
          <w:color w:val="6E6158"/>
          <w:spacing w:val="40"/>
        </w:rPr>
        <w:t> </w:t>
      </w:r>
      <w:r>
        <w:rPr>
          <w:color w:val="6E6158"/>
        </w:rPr>
        <w:t>high school football for the Arizona Interscholastic Association. Before attending law school, he</w:t>
      </w:r>
      <w:r>
        <w:rPr>
          <w:color w:val="6E6158"/>
          <w:spacing w:val="40"/>
        </w:rPr>
        <w:t> </w:t>
      </w:r>
      <w:r>
        <w:rPr>
          <w:color w:val="6E6158"/>
        </w:rPr>
        <w:t>earned</w:t>
      </w:r>
      <w:r>
        <w:rPr>
          <w:color w:val="6E6158"/>
          <w:spacing w:val="31"/>
        </w:rPr>
        <w:t> </w:t>
      </w:r>
      <w:r>
        <w:rPr>
          <w:color w:val="6E6158"/>
        </w:rPr>
        <w:t>his</w:t>
      </w:r>
      <w:r>
        <w:rPr>
          <w:color w:val="6E6158"/>
          <w:spacing w:val="31"/>
        </w:rPr>
        <w:t> </w:t>
      </w:r>
      <w:r>
        <w:rPr>
          <w:color w:val="6E6158"/>
        </w:rPr>
        <w:t>Arizona</w:t>
      </w:r>
      <w:r>
        <w:rPr>
          <w:color w:val="6E6158"/>
          <w:spacing w:val="31"/>
        </w:rPr>
        <w:t> </w:t>
      </w:r>
      <w:r>
        <w:rPr>
          <w:color w:val="6E6158"/>
        </w:rPr>
        <w:t>real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license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worked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property</w:t>
      </w:r>
      <w:r>
        <w:rPr>
          <w:color w:val="6E6158"/>
          <w:spacing w:val="31"/>
        </w:rPr>
        <w:t> </w:t>
      </w:r>
      <w:r>
        <w:rPr>
          <w:color w:val="6E6158"/>
        </w:rPr>
        <w:t>management,</w:t>
      </w:r>
      <w:r>
        <w:rPr>
          <w:color w:val="6E6158"/>
          <w:spacing w:val="31"/>
        </w:rPr>
        <w:t> </w:t>
      </w:r>
      <w:r>
        <w:rPr>
          <w:color w:val="6E6158"/>
        </w:rPr>
        <w:t>giving</w:t>
      </w:r>
      <w:r>
        <w:rPr>
          <w:color w:val="6E6158"/>
          <w:spacing w:val="31"/>
        </w:rPr>
        <w:t> </w:t>
      </w:r>
      <w:r>
        <w:rPr>
          <w:color w:val="6E6158"/>
        </w:rPr>
        <w:t>him</w:t>
      </w:r>
    </w:p>
    <w:p>
      <w:pPr>
        <w:pStyle w:val="BodyText"/>
        <w:spacing w:after="0" w:line="297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213"/>
      </w:pPr>
      <w:r>
        <w:rPr>
          <w:color w:val="6E6158"/>
        </w:rPr>
        <w:t>additional perspective on real estate and business-related issues. He is also an avid trading card</w:t>
      </w:r>
      <w:r>
        <w:rPr>
          <w:color w:val="6E6158"/>
          <w:spacing w:val="40"/>
        </w:rPr>
        <w:t> </w:t>
      </w:r>
      <w:r>
        <w:rPr>
          <w:color w:val="6E6158"/>
        </w:rPr>
        <w:t>game enthusiast.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384" w:lineRule="auto"/>
        <w:ind w:left="343" w:right="3221" w:hanging="245"/>
      </w:pPr>
      <w:r>
        <w:rPr>
          <w:color w:val="6E6158"/>
        </w:rPr>
        <w:t>J.D., </w:t>
      </w:r>
      <w:r>
        <w:rPr>
          <w:i/>
          <w:color w:val="6E6158"/>
          <w:sz w:val="20"/>
        </w:rPr>
        <w:t>Magna Cum Laude, </w:t>
      </w:r>
      <w:r>
        <w:rPr>
          <w:color w:val="6E6158"/>
        </w:rPr>
        <w:t>Sandra Day O’Connor College of </w:t>
      </w:r>
      <w:r>
        <w:rPr>
          <w:color w:val="6E6158"/>
        </w:rPr>
        <w:t>Law</w:t>
      </w:r>
      <w:r>
        <w:rPr>
          <w:color w:val="6E6158"/>
        </w:rPr>
        <w:t> Fennemore Diversity Scholar</w:t>
      </w:r>
    </w:p>
    <w:p>
      <w:pPr>
        <w:pStyle w:val="BodyText"/>
        <w:spacing w:line="288" w:lineRule="auto" w:before="25"/>
        <w:ind w:left="99" w:right="213"/>
      </w:pPr>
      <w:r>
        <w:rPr>
          <w:color w:val="6E6158"/>
        </w:rPr>
        <w:t>B.A., </w:t>
      </w:r>
      <w:r>
        <w:rPr>
          <w:i/>
          <w:color w:val="6E6158"/>
          <w:sz w:val="20"/>
        </w:rPr>
        <w:t>Summa Cum Laude, </w:t>
      </w:r>
      <w:r>
        <w:rPr>
          <w:color w:val="6E6158"/>
        </w:rPr>
        <w:t>W.P. Carey School of Business, Arizona State University; Barrett the Honors College, Arizona State University</w:t>
      </w:r>
    </w:p>
    <w:p>
      <w:pPr>
        <w:pStyle w:val="BodyText"/>
        <w:spacing w:before="125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6597"/>
      </w:pPr>
      <w:r>
        <w:rPr>
          <w:color w:val="6E6158"/>
        </w:rPr>
        <w:t>Business Litigation Automotive </w:t>
      </w:r>
      <w:r>
        <w:rPr>
          <w:color w:val="6E6158"/>
        </w:rPr>
        <w:t>Dealership</w:t>
      </w:r>
    </w:p>
    <w:p>
      <w:pPr>
        <w:pStyle w:val="Heading1"/>
        <w:spacing w:before="28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15" w:lineRule="auto" w:before="254"/>
        <w:ind w:left="99" w:right="3062" w:firstLine="0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2026 2023 Dean’s Award for outstanding performance at ASU Law</w:t>
      </w:r>
    </w:p>
    <w:p>
      <w:pPr>
        <w:pStyle w:val="Heading1"/>
        <w:spacing w:before="2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213"/>
      </w:pPr>
      <w:r>
        <w:rPr>
          <w:color w:val="6E6158"/>
        </w:rPr>
        <w:t>“Prime &amp; Punishment: Evaluating Amazon’s Liability for Defective Products from A-to-Z in </w:t>
      </w:r>
      <w:r>
        <w:rPr>
          <w:color w:val="6E6158"/>
        </w:rPr>
        <w:t>AZ”;</w:t>
      </w:r>
      <w:r>
        <w:rPr>
          <w:color w:val="6E6158"/>
          <w:spacing w:val="40"/>
        </w:rPr>
        <w:t> </w:t>
      </w:r>
      <w:r>
        <w:rPr>
          <w:color w:val="6E6158"/>
        </w:rPr>
        <w:t>Arizona State Law Journal, Volume 55, Issue 1</w:t>
      </w:r>
    </w:p>
    <w:p>
      <w:pPr>
        <w:pStyle w:val="BodyText"/>
        <w:spacing w:before="12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Chair,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Diversity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Inclusion</w:t>
      </w:r>
      <w:r>
        <w:rPr>
          <w:color w:val="6E6158"/>
          <w:spacing w:val="12"/>
        </w:rPr>
        <w:t> </w:t>
      </w:r>
      <w:r>
        <w:rPr>
          <w:color w:val="6E6158"/>
        </w:rPr>
        <w:t>Council,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sshocknes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 A. Shockness - Fennemore</dc:title>
  <dcterms:created xsi:type="dcterms:W3CDTF">2026-07-09T14:32:01Z</dcterms:created>
  <dcterms:modified xsi:type="dcterms:W3CDTF">2026-07-09T14:32:01Z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2026-07-09T00:00:00Z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2026-07-09T00:00:00Z</vt:filetime>
  </property>
  <property fmtid="{D5CDD505-2E9C-101B-9397-08002B2CF9AE}" pid="6" name="Producer">
    <vt:lpwstr>Skia/PDF m149</vt:lpwstr>
  </property>
</Properties>
</file>