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171"/>
        <w:ind w:left="0"/>
        <w:rPr>
          <w:rFonts w:ascii="Times New Roman"/>
        </w:rPr>
      </w:pPr>
    </w:p>
    <w:p>
      <w:pPr>
        <w:pStyle w:val="BodyText"/>
        <w:spacing w:line="295" w:lineRule="auto"/>
        <w:ind w:right="32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-4828774</wp:posOffset>
                </wp:positionV>
                <wp:extent cx="6071870" cy="47364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736465"/>
                          <a:chExt cx="6071870" cy="47364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Andrea Marconi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918437" y="763308"/>
                            <a:ext cx="128333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ANDREA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L.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MARCONI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133494"/>
                            <a:ext cx="195580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602.916.5335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602.916.5535</w:t>
                              </w:r>
                            </w:p>
                            <w:p>
                              <w:pPr>
                                <w:spacing w:before="119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amarconi@fennemorelaw.com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591029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464206" y="3756030"/>
                            <a:ext cx="315976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question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isn't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who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going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let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me;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it's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who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going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stop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6"/>
                                </w:rPr>
                                <w:t>me.</w:t>
                              </w:r>
                            </w:p>
                            <w:p>
                              <w:pPr>
                                <w:spacing w:before="89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-Ayn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Rand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29182" y="4548446"/>
                            <a:ext cx="1587500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ANDREA</w:t>
                              </w:r>
                              <w:r>
                                <w:rPr>
                                  <w:b/>
                                  <w:color w:val="002E6B"/>
                                  <w:spacing w:val="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L.</w:t>
                              </w:r>
                              <w:r>
                                <w:rPr>
                                  <w:b/>
                                  <w:color w:val="002E6B"/>
                                  <w:spacing w:val="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MARCONI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857434" y="3591029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80.218445pt;width:478.1pt;height:372.95pt;mso-position-horizontal-relative:page;mso-position-vertical-relative:paragraph;z-index:15728640" id="docshapegroup1" coordorigin="1336,-7604" coordsize="9562,7459">
                <v:rect style="position:absolute;left:1336;top:-2625;width:9562;height:2076" id="docshape2" filled="true" fillcolor="#002e6d" stroked="false">
                  <v:fill type="solid"/>
                </v:rect>
                <v:shape style="position:absolute;left:1336;top:-7605;width:2165;height:424" type="#_x0000_t75" id="docshape3" alt="Fennemore" href="https://www.fennemorelaw.com/" stroked="false">
                  <v:imagedata r:id="rId5" o:title=""/>
                </v:shape>
                <v:shape style="position:absolute;left:1336;top:-7182;width:4785;height:4557" type="#_x0000_t75" id="docshape4" alt="Andrea Marconi" stroked="false">
                  <v:imagedata r:id="rId7" o:title=""/>
                </v:shape>
                <v:rect style="position:absolute;left:6121;top:-7182;width:4777;height:4557" id="docshape5" filled="true" fillcolor="#262424" stroked="false">
                  <v:fill type="solid"/>
                </v:rect>
                <v:shape style="position:absolute;left:6837;top:-5017;width:3337;height:505" id="docshape6" coordorigin="6837,-5017" coordsize="3337,505" path="m10174,-4520l6837,-4520,6837,-4512,10174,-4512,10174,-4520xm10174,-5017l6837,-5017,6837,-5008,10174,-5008,10174,-5017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506;top:-6403;width:2021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ANDREA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L.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MARCONI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245;width:3080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602.916.5335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602.916.5535</w:t>
                        </w:r>
                      </w:p>
                      <w:p>
                        <w:pPr>
                          <w:spacing w:before="119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amarconi@fennemorelaw.com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50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642;top:-1690;width:4976;height:485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question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isn't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who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going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let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me;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it's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who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going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stop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sz w:val="16"/>
                          </w:rPr>
                          <w:t>me.</w:t>
                        </w:r>
                      </w:p>
                      <w:p>
                        <w:pPr>
                          <w:spacing w:before="89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-Ayn</w:t>
                        </w:r>
                        <w:r>
                          <w:rPr>
                            <w:color w:val="FFFFFF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Rand</w:t>
                        </w:r>
                      </w:p>
                    </w:txbxContent>
                  </v:textbox>
                  <w10:wrap type="none"/>
                </v:shape>
                <v:shape style="position:absolute;left:1539;top:-442;width:2500;height:296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ANDREA</w:t>
                        </w:r>
                        <w:r>
                          <w:rPr>
                            <w:b/>
                            <w:color w:val="002E6B"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z w:val="24"/>
                          </w:rPr>
                          <w:t>L.</w:t>
                        </w:r>
                        <w:r>
                          <w:rPr>
                            <w:b/>
                            <w:color w:val="002E6B"/>
                            <w:spacing w:val="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MARCONI</w:t>
                        </w:r>
                      </w:p>
                    </w:txbxContent>
                  </v:textbox>
                  <w10:wrap type="none"/>
                </v:shape>
                <v:shape style="position:absolute;left:8985;top:-1950;width:725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Andrea</w:t>
      </w:r>
      <w:r>
        <w:rPr>
          <w:color w:val="6E6158"/>
          <w:spacing w:val="29"/>
        </w:rPr>
        <w:t> </w:t>
      </w:r>
      <w:r>
        <w:rPr>
          <w:color w:val="6E6158"/>
        </w:rPr>
        <w:t>Marconi</w:t>
      </w:r>
      <w:r>
        <w:rPr>
          <w:color w:val="6E6158"/>
          <w:spacing w:val="29"/>
        </w:rPr>
        <w:t> </w:t>
      </w:r>
      <w:r>
        <w:rPr>
          <w:color w:val="6E6158"/>
        </w:rPr>
        <w:t>is</w:t>
      </w:r>
      <w:r>
        <w:rPr>
          <w:color w:val="6E6158"/>
          <w:spacing w:val="29"/>
        </w:rPr>
        <w:t> </w:t>
      </w:r>
      <w:r>
        <w:rPr>
          <w:color w:val="6E6158"/>
        </w:rPr>
        <w:t>an</w:t>
      </w:r>
      <w:r>
        <w:rPr>
          <w:color w:val="6E6158"/>
          <w:spacing w:val="29"/>
        </w:rPr>
        <w:t> </w:t>
      </w:r>
      <w:r>
        <w:rPr>
          <w:color w:val="6E6158"/>
        </w:rPr>
        <w:t>experienced</w:t>
      </w:r>
      <w:r>
        <w:rPr>
          <w:color w:val="6E6158"/>
          <w:spacing w:val="29"/>
        </w:rPr>
        <w:t> </w:t>
      </w:r>
      <w:r>
        <w:rPr>
          <w:color w:val="6E6158"/>
        </w:rPr>
        <w:t>complex</w:t>
      </w:r>
      <w:r>
        <w:rPr>
          <w:color w:val="6E6158"/>
          <w:spacing w:val="29"/>
        </w:rPr>
        <w:t> </w:t>
      </w:r>
      <w:r>
        <w:rPr>
          <w:color w:val="6E6158"/>
        </w:rPr>
        <w:t>commercial</w:t>
      </w:r>
      <w:r>
        <w:rPr>
          <w:color w:val="6E6158"/>
          <w:spacing w:val="29"/>
        </w:rPr>
        <w:t> </w:t>
      </w:r>
      <w:r>
        <w:rPr>
          <w:color w:val="6E6158"/>
        </w:rPr>
        <w:t>litigator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serves</w:t>
      </w:r>
      <w:r>
        <w:rPr>
          <w:color w:val="6E6158"/>
          <w:spacing w:val="29"/>
        </w:rPr>
        <w:t> </w:t>
      </w:r>
      <w:r>
        <w:rPr>
          <w:color w:val="6E6158"/>
        </w:rPr>
        <w:t>as</w:t>
      </w:r>
      <w:r>
        <w:rPr>
          <w:color w:val="6E6158"/>
          <w:spacing w:val="29"/>
        </w:rPr>
        <w:t> </w:t>
      </w:r>
      <w:r>
        <w:rPr>
          <w:color w:val="6E6158"/>
        </w:rPr>
        <w:t>Chair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the firm’s business litigation practice group. Her broad spectrum of work encompasses many areas,</w:t>
      </w:r>
      <w:r>
        <w:rPr>
          <w:color w:val="6E6158"/>
          <w:spacing w:val="40"/>
        </w:rPr>
        <w:t> </w:t>
      </w:r>
      <w:r>
        <w:rPr>
          <w:color w:val="6E6158"/>
        </w:rPr>
        <w:t>including both representing and litigating cases against public entities and regulatory agencies,</w:t>
      </w:r>
      <w:r>
        <w:rPr>
          <w:color w:val="6E6158"/>
          <w:spacing w:val="40"/>
        </w:rPr>
        <w:t> </w:t>
      </w:r>
      <w:r>
        <w:rPr>
          <w:color w:val="6E6158"/>
        </w:rPr>
        <w:t>high value tort matters, insurance coverage and indemnity matters, and financial services </w:t>
      </w:r>
      <w:r>
        <w:rPr>
          <w:color w:val="6E6158"/>
        </w:rPr>
        <w:t>issues</w:t>
      </w:r>
      <w:r>
        <w:rPr>
          <w:color w:val="6E6158"/>
          <w:spacing w:val="40"/>
        </w:rPr>
        <w:t> </w:t>
      </w:r>
      <w:r>
        <w:rPr>
          <w:color w:val="6E6158"/>
        </w:rPr>
        <w:t>such as payment processing, credit card processing, and ACH transactions. In addition, Andrea</w:t>
      </w:r>
      <w:r>
        <w:rPr>
          <w:color w:val="6E6158"/>
          <w:spacing w:val="40"/>
        </w:rPr>
        <w:t> </w:t>
      </w:r>
      <w:r>
        <w:rPr>
          <w:color w:val="6E6158"/>
        </w:rPr>
        <w:t>has significant experience representing entities throughout the healthcare industry, including</w:t>
      </w:r>
      <w:r>
        <w:rPr>
          <w:color w:val="6E6158"/>
          <w:spacing w:val="40"/>
        </w:rPr>
        <w:t> </w:t>
      </w:r>
      <w:r>
        <w:rPr>
          <w:color w:val="6E6158"/>
        </w:rPr>
        <w:t>representing health insurers, providers, and medical billing companies in numerous matters such</w:t>
      </w:r>
      <w:r>
        <w:rPr>
          <w:color w:val="6E6158"/>
          <w:spacing w:val="80"/>
        </w:rPr>
        <w:t> </w:t>
      </w:r>
      <w:r>
        <w:rPr>
          <w:color w:val="6E6158"/>
        </w:rPr>
        <w:t>as coverage issues, regulatory and compliance matters, ERISA claims, and defense of bad faith</w:t>
      </w:r>
      <w:r>
        <w:rPr>
          <w:color w:val="6E6158"/>
          <w:spacing w:val="40"/>
        </w:rPr>
        <w:t> </w:t>
      </w:r>
      <w:r>
        <w:rPr>
          <w:color w:val="6E6158"/>
        </w:rPr>
        <w:t>claims.</w:t>
      </w:r>
      <w:r>
        <w:rPr>
          <w:color w:val="6E6158"/>
          <w:spacing w:val="31"/>
        </w:rPr>
        <w:t> </w:t>
      </w:r>
      <w:r>
        <w:rPr>
          <w:color w:val="6E6158"/>
        </w:rPr>
        <w:t>Routinely</w:t>
      </w:r>
      <w:r>
        <w:rPr>
          <w:color w:val="6E6158"/>
          <w:spacing w:val="31"/>
        </w:rPr>
        <w:t> </w:t>
      </w:r>
      <w:r>
        <w:rPr>
          <w:color w:val="6E6158"/>
        </w:rPr>
        <w:t>arbitrating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contesting</w:t>
      </w:r>
      <w:r>
        <w:rPr>
          <w:color w:val="6E6158"/>
          <w:spacing w:val="31"/>
        </w:rPr>
        <w:t> </w:t>
      </w:r>
      <w:r>
        <w:rPr>
          <w:color w:val="6E6158"/>
        </w:rPr>
        <w:t>cases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state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federal</w:t>
      </w:r>
      <w:r>
        <w:rPr>
          <w:color w:val="6E6158"/>
          <w:spacing w:val="31"/>
        </w:rPr>
        <w:t> </w:t>
      </w:r>
      <w:r>
        <w:rPr>
          <w:color w:val="6E6158"/>
        </w:rPr>
        <w:t>courts</w:t>
      </w:r>
      <w:r>
        <w:rPr>
          <w:color w:val="6E6158"/>
          <w:spacing w:val="31"/>
        </w:rPr>
        <w:t> </w:t>
      </w:r>
      <w:r>
        <w:rPr>
          <w:color w:val="6E6158"/>
        </w:rPr>
        <w:t>around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</w:p>
    <w:p>
      <w:pPr>
        <w:pStyle w:val="BodyText"/>
        <w:spacing w:before="9"/>
      </w:pPr>
      <w:r>
        <w:rPr>
          <w:color w:val="6E6158"/>
        </w:rPr>
        <w:t>country,</w:t>
      </w:r>
      <w:r>
        <w:rPr>
          <w:color w:val="6E6158"/>
          <w:spacing w:val="11"/>
        </w:rPr>
        <w:t> </w:t>
      </w:r>
      <w:r>
        <w:rPr>
          <w:color w:val="6E6158"/>
        </w:rPr>
        <w:t>she</w:t>
      </w:r>
      <w:r>
        <w:rPr>
          <w:color w:val="6E6158"/>
          <w:spacing w:val="11"/>
        </w:rPr>
        <w:t> </w:t>
      </w:r>
      <w:r>
        <w:rPr>
          <w:color w:val="6E6158"/>
        </w:rPr>
        <w:t>also</w:t>
      </w:r>
      <w:r>
        <w:rPr>
          <w:color w:val="6E6158"/>
          <w:spacing w:val="11"/>
        </w:rPr>
        <w:t> </w:t>
      </w:r>
      <w:r>
        <w:rPr>
          <w:color w:val="6E6158"/>
        </w:rPr>
        <w:t>has</w:t>
      </w:r>
      <w:r>
        <w:rPr>
          <w:color w:val="6E6158"/>
          <w:spacing w:val="11"/>
        </w:rPr>
        <w:t> </w:t>
      </w:r>
      <w:r>
        <w:rPr>
          <w:color w:val="6E6158"/>
        </w:rPr>
        <w:t>extensive</w:t>
      </w:r>
      <w:r>
        <w:rPr>
          <w:color w:val="6E6158"/>
          <w:spacing w:val="11"/>
        </w:rPr>
        <w:t> </w:t>
      </w:r>
      <w:r>
        <w:rPr>
          <w:color w:val="6E6158"/>
        </w:rPr>
        <w:t>experience</w:t>
      </w:r>
      <w:r>
        <w:rPr>
          <w:color w:val="6E6158"/>
          <w:spacing w:val="11"/>
        </w:rPr>
        <w:t> </w:t>
      </w:r>
      <w:r>
        <w:rPr>
          <w:color w:val="6E6158"/>
        </w:rPr>
        <w:t>litigating</w:t>
      </w:r>
      <w:r>
        <w:rPr>
          <w:color w:val="6E6158"/>
          <w:spacing w:val="11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</w:rPr>
        <w:t>wide</w:t>
      </w:r>
      <w:r>
        <w:rPr>
          <w:color w:val="6E6158"/>
          <w:spacing w:val="11"/>
        </w:rPr>
        <w:t> </w:t>
      </w:r>
      <w:r>
        <w:rPr>
          <w:color w:val="6E6158"/>
        </w:rPr>
        <w:t>array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real</w:t>
      </w:r>
      <w:r>
        <w:rPr>
          <w:color w:val="6E6158"/>
          <w:spacing w:val="11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contract</w:t>
      </w:r>
    </w:p>
    <w:p>
      <w:pPr>
        <w:pStyle w:val="BodyText"/>
        <w:spacing w:line="292" w:lineRule="auto" w:before="52"/>
        <w:ind w:right="273"/>
      </w:pPr>
      <w:r>
        <w:rPr>
          <w:color w:val="6E6158"/>
        </w:rPr>
        <w:t>disputes, public entity immunity issues, franchise litigation, restrictive covenants, and trade </w:t>
      </w:r>
      <w:r>
        <w:rPr>
          <w:color w:val="6E6158"/>
        </w:rPr>
        <w:t>secret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litigation.</w:t>
      </w:r>
    </w:p>
    <w:p>
      <w:pPr>
        <w:pStyle w:val="BodyText"/>
        <w:spacing w:line="297" w:lineRule="auto" w:before="196"/>
        <w:ind w:right="225"/>
      </w:pPr>
      <w:r>
        <w:rPr>
          <w:color w:val="6E6158"/>
        </w:rPr>
        <w:t>Although</w:t>
      </w:r>
      <w:r>
        <w:rPr>
          <w:color w:val="6E6158"/>
          <w:spacing w:val="24"/>
        </w:rPr>
        <w:t> </w:t>
      </w:r>
      <w:r>
        <w:rPr>
          <w:color w:val="6E6158"/>
        </w:rPr>
        <w:t>she</w:t>
      </w:r>
      <w:r>
        <w:rPr>
          <w:color w:val="6E6158"/>
          <w:spacing w:val="24"/>
        </w:rPr>
        <w:t> </w:t>
      </w:r>
      <w:r>
        <w:rPr>
          <w:color w:val="6E6158"/>
        </w:rPr>
        <w:t>did</w:t>
      </w:r>
      <w:r>
        <w:rPr>
          <w:color w:val="6E6158"/>
          <w:spacing w:val="24"/>
        </w:rPr>
        <w:t> </w:t>
      </w:r>
      <w:r>
        <w:rPr>
          <w:color w:val="6E6158"/>
        </w:rPr>
        <w:t>not</w:t>
      </w:r>
      <w:r>
        <w:rPr>
          <w:color w:val="6E6158"/>
          <w:spacing w:val="24"/>
        </w:rPr>
        <w:t> </w:t>
      </w:r>
      <w:r>
        <w:rPr>
          <w:color w:val="6E6158"/>
        </w:rPr>
        <w:t>come</w:t>
      </w:r>
      <w:r>
        <w:rPr>
          <w:color w:val="6E6158"/>
          <w:spacing w:val="24"/>
        </w:rPr>
        <w:t> </w:t>
      </w:r>
      <w:r>
        <w:rPr>
          <w:color w:val="6E6158"/>
        </w:rPr>
        <w:t>from</w:t>
      </w:r>
      <w:r>
        <w:rPr>
          <w:color w:val="6E6158"/>
          <w:spacing w:val="24"/>
        </w:rPr>
        <w:t> </w:t>
      </w:r>
      <w:r>
        <w:rPr>
          <w:color w:val="6E6158"/>
        </w:rPr>
        <w:t>a</w:t>
      </w:r>
      <w:r>
        <w:rPr>
          <w:color w:val="6E6158"/>
          <w:spacing w:val="24"/>
        </w:rPr>
        <w:t> </w:t>
      </w:r>
      <w:r>
        <w:rPr>
          <w:color w:val="6E6158"/>
        </w:rPr>
        <w:t>family</w:t>
      </w:r>
      <w:r>
        <w:rPr>
          <w:color w:val="6E6158"/>
          <w:spacing w:val="24"/>
        </w:rPr>
        <w:t> </w:t>
      </w:r>
      <w:r>
        <w:rPr>
          <w:color w:val="6E6158"/>
        </w:rPr>
        <w:t>of</w:t>
      </w:r>
      <w:r>
        <w:rPr>
          <w:color w:val="6E6158"/>
          <w:spacing w:val="24"/>
        </w:rPr>
        <w:t> </w:t>
      </w:r>
      <w:r>
        <w:rPr>
          <w:color w:val="6E6158"/>
        </w:rPr>
        <w:t>attorneys,</w:t>
      </w:r>
      <w:r>
        <w:rPr>
          <w:color w:val="6E6158"/>
          <w:spacing w:val="24"/>
        </w:rPr>
        <w:t> </w:t>
      </w:r>
      <w:r>
        <w:rPr>
          <w:color w:val="6E6158"/>
        </w:rPr>
        <w:t>Andrea</w:t>
      </w:r>
      <w:r>
        <w:rPr>
          <w:color w:val="6E6158"/>
          <w:spacing w:val="24"/>
        </w:rPr>
        <w:t> </w:t>
      </w:r>
      <w:r>
        <w:rPr>
          <w:color w:val="6E6158"/>
        </w:rPr>
        <w:t>knew</w:t>
      </w:r>
      <w:r>
        <w:rPr>
          <w:color w:val="6E6158"/>
          <w:spacing w:val="24"/>
        </w:rPr>
        <w:t> </w:t>
      </w:r>
      <w:r>
        <w:rPr>
          <w:color w:val="6E6158"/>
        </w:rPr>
        <w:t>early</w:t>
      </w:r>
      <w:r>
        <w:rPr>
          <w:color w:val="6E6158"/>
          <w:spacing w:val="24"/>
        </w:rPr>
        <w:t> </w:t>
      </w:r>
      <w:r>
        <w:rPr>
          <w:color w:val="6E6158"/>
        </w:rPr>
        <w:t>on</w:t>
      </w:r>
      <w:r>
        <w:rPr>
          <w:color w:val="6E6158"/>
          <w:spacing w:val="24"/>
        </w:rPr>
        <w:t> </w:t>
      </w:r>
      <w:r>
        <w:rPr>
          <w:color w:val="6E6158"/>
        </w:rPr>
        <w:t>that</w:t>
      </w:r>
      <w:r>
        <w:rPr>
          <w:color w:val="6E6158"/>
          <w:spacing w:val="24"/>
        </w:rPr>
        <w:t> </w:t>
      </w:r>
      <w:r>
        <w:rPr>
          <w:color w:val="6E6158"/>
        </w:rPr>
        <w:t>her</w:t>
      </w:r>
      <w:r>
        <w:rPr>
          <w:color w:val="6E6158"/>
          <w:spacing w:val="24"/>
        </w:rPr>
        <w:t> </w:t>
      </w:r>
      <w:r>
        <w:rPr>
          <w:color w:val="6E6158"/>
        </w:rPr>
        <w:t>calling was to be an attorney. She has always loved analyzing problems, persuading others as to her</w:t>
      </w:r>
      <w:r>
        <w:rPr>
          <w:color w:val="6E6158"/>
          <w:spacing w:val="40"/>
        </w:rPr>
        <w:t> </w:t>
      </w:r>
      <w:r>
        <w:rPr>
          <w:color w:val="6E6158"/>
        </w:rPr>
        <w:t>opinion</w:t>
      </w:r>
      <w:r>
        <w:rPr>
          <w:color w:val="6E6158"/>
          <w:spacing w:val="11"/>
        </w:rPr>
        <w:t> </w:t>
      </w:r>
      <w:r>
        <w:rPr>
          <w:color w:val="6E6158"/>
        </w:rPr>
        <w:t>on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facts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arguing</w:t>
      </w:r>
      <w:r>
        <w:rPr>
          <w:color w:val="6E6158"/>
          <w:spacing w:val="11"/>
        </w:rPr>
        <w:t> </w:t>
      </w:r>
      <w:r>
        <w:rPr>
          <w:color w:val="6E6158"/>
        </w:rPr>
        <w:t>with</w:t>
      </w:r>
      <w:r>
        <w:rPr>
          <w:color w:val="6E6158"/>
          <w:spacing w:val="11"/>
        </w:rPr>
        <w:t> </w:t>
      </w:r>
      <w:r>
        <w:rPr>
          <w:color w:val="6E6158"/>
        </w:rPr>
        <w:t>her</w:t>
      </w:r>
      <w:r>
        <w:rPr>
          <w:color w:val="6E6158"/>
          <w:spacing w:val="11"/>
        </w:rPr>
        <w:t> </w:t>
      </w:r>
      <w:r>
        <w:rPr>
          <w:color w:val="6E6158"/>
        </w:rPr>
        <w:t>father</w:t>
      </w:r>
      <w:r>
        <w:rPr>
          <w:color w:val="6E6158"/>
          <w:spacing w:val="11"/>
        </w:rPr>
        <w:t> </w:t>
      </w:r>
      <w:r>
        <w:rPr>
          <w:color w:val="6E6158"/>
        </w:rPr>
        <w:t>—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often</w:t>
      </w:r>
      <w:r>
        <w:rPr>
          <w:color w:val="6E6158"/>
          <w:spacing w:val="11"/>
        </w:rPr>
        <w:t> </w:t>
      </w:r>
      <w:r>
        <w:rPr>
          <w:color w:val="6E6158"/>
        </w:rPr>
        <w:t>winning</w:t>
      </w:r>
      <w:r>
        <w:rPr>
          <w:color w:val="6E6158"/>
          <w:spacing w:val="11"/>
        </w:rPr>
        <w:t> </w:t>
      </w:r>
      <w:r>
        <w:rPr>
          <w:color w:val="6E6158"/>
        </w:rPr>
        <w:t>—</w:t>
      </w:r>
      <w:r>
        <w:rPr>
          <w:color w:val="6E6158"/>
          <w:spacing w:val="11"/>
        </w:rPr>
        <w:t> </w:t>
      </w:r>
      <w:r>
        <w:rPr>
          <w:color w:val="6E6158"/>
        </w:rPr>
        <w:t>at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kitchen</w:t>
      </w:r>
      <w:r>
        <w:rPr>
          <w:color w:val="6E6158"/>
          <w:spacing w:val="11"/>
        </w:rPr>
        <w:t> </w:t>
      </w:r>
      <w:r>
        <w:rPr>
          <w:color w:val="6E6158"/>
        </w:rPr>
        <w:t>table.</w:t>
      </w:r>
      <w:r>
        <w:rPr>
          <w:color w:val="6E6158"/>
          <w:spacing w:val="11"/>
        </w:rPr>
        <w:t> </w:t>
      </w:r>
      <w:r>
        <w:rPr>
          <w:color w:val="6E6158"/>
        </w:rPr>
        <w:t>As a business litigation attorney, she now advises a diverse group of clients, including individuals,</w:t>
      </w:r>
      <w:r>
        <w:rPr>
          <w:color w:val="6E6158"/>
          <w:spacing w:val="80"/>
        </w:rPr>
        <w:t> </w:t>
      </w:r>
      <w:r>
        <w:rPr>
          <w:color w:val="6E6158"/>
        </w:rPr>
        <w:t>small and mid-sized businesses, and Fortune 500 companies.</w:t>
      </w:r>
    </w:p>
    <w:p>
      <w:pPr>
        <w:pStyle w:val="BodyText"/>
        <w:spacing w:line="295" w:lineRule="auto" w:before="192"/>
        <w:ind w:right="323"/>
      </w:pPr>
      <w:r>
        <w:rPr>
          <w:color w:val="6E6158"/>
        </w:rPr>
        <w:t>She litigates disputes from start to finish — and often resolves these cases before they need to be</w:t>
      </w:r>
      <w:r>
        <w:rPr>
          <w:color w:val="6E6158"/>
          <w:spacing w:val="40"/>
        </w:rPr>
        <w:t> </w:t>
      </w:r>
      <w:r>
        <w:rPr>
          <w:color w:val="6E6158"/>
        </w:rPr>
        <w:t>addressed in the courthouse. She continues to study the art and science of disagreements, and</w:t>
      </w:r>
      <w:r>
        <w:rPr>
          <w:color w:val="6E6158"/>
          <w:spacing w:val="40"/>
        </w:rPr>
        <w:t> </w:t>
      </w:r>
      <w:r>
        <w:rPr>
          <w:color w:val="6E6158"/>
        </w:rPr>
        <w:t>how to best solve them, which is often conducive to long-term relationships with her clients. She</w:t>
      </w:r>
      <w:r>
        <w:rPr>
          <w:color w:val="6E6158"/>
          <w:spacing w:val="40"/>
        </w:rPr>
        <w:t> </w:t>
      </w:r>
      <w:r>
        <w:rPr>
          <w:color w:val="6E6158"/>
        </w:rPr>
        <w:t>frequently takes the role of outside general counsel, looking at ways of avoiding ambiguity that</w:t>
      </w:r>
      <w:r>
        <w:rPr>
          <w:color w:val="6E6158"/>
          <w:spacing w:val="40"/>
        </w:rPr>
        <w:t> </w:t>
      </w:r>
      <w:r>
        <w:rPr>
          <w:color w:val="6E6158"/>
        </w:rPr>
        <w:t>could lead to costly disputes in the future. While not afraid to fight when necessary, Andrea’s</w:t>
      </w:r>
      <w:r>
        <w:rPr>
          <w:color w:val="6E6158"/>
          <w:spacing w:val="40"/>
        </w:rPr>
        <w:t> </w:t>
      </w:r>
      <w:r>
        <w:rPr>
          <w:color w:val="6E6158"/>
        </w:rPr>
        <w:t>approach</w:t>
      </w:r>
      <w:r>
        <w:rPr>
          <w:color w:val="6E6158"/>
          <w:spacing w:val="28"/>
        </w:rPr>
        <w:t> </w:t>
      </w:r>
      <w:r>
        <w:rPr>
          <w:color w:val="6E6158"/>
        </w:rPr>
        <w:t>throughout</w:t>
      </w:r>
      <w:r>
        <w:rPr>
          <w:color w:val="6E6158"/>
          <w:spacing w:val="28"/>
        </w:rPr>
        <w:t> </w:t>
      </w:r>
      <w:r>
        <w:rPr>
          <w:color w:val="6E6158"/>
        </w:rPr>
        <w:t>her</w:t>
      </w:r>
      <w:r>
        <w:rPr>
          <w:color w:val="6E6158"/>
          <w:spacing w:val="28"/>
        </w:rPr>
        <w:t> </w:t>
      </w:r>
      <w:r>
        <w:rPr>
          <w:color w:val="6E6158"/>
        </w:rPr>
        <w:t>career</w:t>
      </w:r>
      <w:r>
        <w:rPr>
          <w:color w:val="6E6158"/>
          <w:spacing w:val="28"/>
        </w:rPr>
        <w:t> </w:t>
      </w:r>
      <w:r>
        <w:rPr>
          <w:color w:val="6E6158"/>
        </w:rPr>
        <w:t>has</w:t>
      </w:r>
      <w:r>
        <w:rPr>
          <w:color w:val="6E6158"/>
          <w:spacing w:val="28"/>
        </w:rPr>
        <w:t> </w:t>
      </w:r>
      <w:r>
        <w:rPr>
          <w:color w:val="6E6158"/>
        </w:rPr>
        <w:t>been</w:t>
      </w:r>
      <w:r>
        <w:rPr>
          <w:color w:val="6E6158"/>
          <w:spacing w:val="28"/>
        </w:rPr>
        <w:t> </w:t>
      </w:r>
      <w:r>
        <w:rPr>
          <w:color w:val="6E6158"/>
        </w:rPr>
        <w:t>to</w:t>
      </w:r>
      <w:r>
        <w:rPr>
          <w:color w:val="6E6158"/>
          <w:spacing w:val="28"/>
        </w:rPr>
        <w:t> </w:t>
      </w:r>
      <w:r>
        <w:rPr>
          <w:color w:val="6E6158"/>
        </w:rPr>
        <w:t>learn</w:t>
      </w:r>
      <w:r>
        <w:rPr>
          <w:color w:val="6E6158"/>
          <w:spacing w:val="28"/>
        </w:rPr>
        <w:t> </w:t>
      </w:r>
      <w:r>
        <w:rPr>
          <w:color w:val="6E6158"/>
        </w:rPr>
        <w:t>her</w:t>
      </w:r>
      <w:r>
        <w:rPr>
          <w:color w:val="6E6158"/>
          <w:spacing w:val="28"/>
        </w:rPr>
        <w:t> </w:t>
      </w:r>
      <w:r>
        <w:rPr>
          <w:color w:val="6E6158"/>
        </w:rPr>
        <w:t>clients’</w:t>
      </w:r>
      <w:r>
        <w:rPr>
          <w:color w:val="6E6158"/>
          <w:spacing w:val="28"/>
        </w:rPr>
        <w:t> </w:t>
      </w:r>
      <w:r>
        <w:rPr>
          <w:color w:val="6E6158"/>
        </w:rPr>
        <w:t>business</w:t>
      </w:r>
      <w:r>
        <w:rPr>
          <w:color w:val="6E6158"/>
          <w:spacing w:val="28"/>
        </w:rPr>
        <w:t> </w:t>
      </w:r>
      <w:r>
        <w:rPr>
          <w:color w:val="6E6158"/>
        </w:rPr>
        <w:t>inside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out,</w:t>
      </w:r>
    </w:p>
    <w:p>
      <w:pPr>
        <w:pStyle w:val="BodyText"/>
        <w:spacing w:after="0" w:line="295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2" w:lineRule="auto" w:before="83"/>
        <w:ind w:right="550"/>
      </w:pPr>
      <w:r>
        <w:rPr>
          <w:color w:val="6E6158"/>
        </w:rPr>
        <w:t>understanding</w:t>
      </w:r>
      <w:r>
        <w:rPr>
          <w:color w:val="6E6158"/>
          <w:spacing w:val="16"/>
        </w:rPr>
        <w:t> </w:t>
      </w:r>
      <w:r>
        <w:rPr>
          <w:color w:val="6E6158"/>
        </w:rPr>
        <w:t>critical</w:t>
      </w:r>
      <w:r>
        <w:rPr>
          <w:color w:val="6E6158"/>
          <w:spacing w:val="16"/>
        </w:rPr>
        <w:t> </w:t>
      </w:r>
      <w:r>
        <w:rPr>
          <w:color w:val="6E6158"/>
        </w:rPr>
        <w:t>issues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proactively</w:t>
      </w:r>
      <w:r>
        <w:rPr>
          <w:color w:val="6E6158"/>
          <w:spacing w:val="16"/>
        </w:rPr>
        <w:t> </w:t>
      </w:r>
      <w:r>
        <w:rPr>
          <w:color w:val="6E6158"/>
        </w:rPr>
        <w:t>handling</w:t>
      </w:r>
      <w:r>
        <w:rPr>
          <w:color w:val="6E6158"/>
          <w:spacing w:val="16"/>
        </w:rPr>
        <w:t> </w:t>
      </w:r>
      <w:r>
        <w:rPr>
          <w:color w:val="6E6158"/>
        </w:rPr>
        <w:t>any</w:t>
      </w:r>
      <w:r>
        <w:rPr>
          <w:color w:val="6E6158"/>
          <w:spacing w:val="16"/>
        </w:rPr>
        <w:t> </w:t>
      </w:r>
      <w:r>
        <w:rPr>
          <w:color w:val="6E6158"/>
        </w:rPr>
        <w:t>problems</w:t>
      </w:r>
      <w:r>
        <w:rPr>
          <w:color w:val="6E6158"/>
          <w:spacing w:val="16"/>
        </w:rPr>
        <w:t> </w:t>
      </w:r>
      <w:r>
        <w:rPr>
          <w:color w:val="6E6158"/>
        </w:rPr>
        <w:t>in</w:t>
      </w:r>
      <w:r>
        <w:rPr>
          <w:color w:val="6E6158"/>
          <w:spacing w:val="16"/>
        </w:rPr>
        <w:t> </w:t>
      </w:r>
      <w:r>
        <w:rPr>
          <w:color w:val="6E6158"/>
        </w:rPr>
        <w:t>an</w:t>
      </w:r>
      <w:r>
        <w:rPr>
          <w:color w:val="6E6158"/>
          <w:spacing w:val="16"/>
        </w:rPr>
        <w:t> </w:t>
      </w:r>
      <w:r>
        <w:rPr>
          <w:color w:val="6E6158"/>
        </w:rPr>
        <w:t>efficient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cost-effective manner.</w:t>
      </w:r>
    </w:p>
    <w:p>
      <w:pPr>
        <w:pStyle w:val="BodyText"/>
        <w:spacing w:line="295" w:lineRule="auto" w:before="205"/>
        <w:ind w:right="223"/>
      </w:pPr>
      <w:r>
        <w:rPr>
          <w:color w:val="6E6158"/>
        </w:rPr>
        <w:t>When not litigating, Andrea is probably volunteering in the community. Her passion for animal</w:t>
      </w:r>
      <w:r>
        <w:rPr>
          <w:color w:val="6E6158"/>
          <w:spacing w:val="40"/>
        </w:rPr>
        <w:t> </w:t>
      </w:r>
      <w:r>
        <w:rPr>
          <w:color w:val="6E6158"/>
        </w:rPr>
        <w:t>welfare is showcased in her efforts as the past chair and longtime member of the Arizona</w:t>
      </w:r>
      <w:r>
        <w:rPr>
          <w:color w:val="6E6158"/>
          <w:spacing w:val="80"/>
        </w:rPr>
        <w:t> </w:t>
      </w:r>
      <w:r>
        <w:rPr>
          <w:color w:val="6E6158"/>
        </w:rPr>
        <w:t>Humane Society’s board of directors. Andrea is also Chair-elect and a member of the Chandler</w:t>
      </w:r>
      <w:r>
        <w:rPr>
          <w:color w:val="6E6158"/>
          <w:spacing w:val="40"/>
        </w:rPr>
        <w:t> </w:t>
      </w:r>
      <w:r>
        <w:rPr>
          <w:color w:val="6E6158"/>
        </w:rPr>
        <w:t>Chamber</w:t>
      </w:r>
      <w:r>
        <w:rPr>
          <w:color w:val="6E6158"/>
          <w:spacing w:val="19"/>
        </w:rPr>
        <w:t> </w:t>
      </w:r>
      <w:r>
        <w:rPr>
          <w:color w:val="6E6158"/>
        </w:rPr>
        <w:t>of</w:t>
      </w:r>
      <w:r>
        <w:rPr>
          <w:color w:val="6E6158"/>
          <w:spacing w:val="19"/>
        </w:rPr>
        <w:t> </w:t>
      </w:r>
      <w:r>
        <w:rPr>
          <w:color w:val="6E6158"/>
        </w:rPr>
        <w:t>Commerce</w:t>
      </w:r>
      <w:r>
        <w:rPr>
          <w:color w:val="6E6158"/>
          <w:spacing w:val="19"/>
        </w:rPr>
        <w:t> </w:t>
      </w:r>
      <w:r>
        <w:rPr>
          <w:color w:val="6E6158"/>
        </w:rPr>
        <w:t>Board</w:t>
      </w:r>
      <w:r>
        <w:rPr>
          <w:color w:val="6E6158"/>
          <w:spacing w:val="19"/>
        </w:rPr>
        <w:t> </w:t>
      </w:r>
      <w:r>
        <w:rPr>
          <w:color w:val="6E6158"/>
        </w:rPr>
        <w:t>of</w:t>
      </w:r>
      <w:r>
        <w:rPr>
          <w:color w:val="6E6158"/>
          <w:spacing w:val="19"/>
        </w:rPr>
        <w:t> </w:t>
      </w:r>
      <w:r>
        <w:rPr>
          <w:color w:val="6E6158"/>
        </w:rPr>
        <w:t>Directors</w:t>
      </w:r>
      <w:r>
        <w:rPr>
          <w:color w:val="6E6158"/>
          <w:spacing w:val="19"/>
        </w:rPr>
        <w:t> </w:t>
      </w:r>
      <w:r>
        <w:rPr>
          <w:color w:val="6E6158"/>
        </w:rPr>
        <w:t>and</w:t>
      </w:r>
      <w:r>
        <w:rPr>
          <w:color w:val="6E6158"/>
          <w:spacing w:val="19"/>
        </w:rPr>
        <w:t> </w:t>
      </w:r>
      <w:r>
        <w:rPr>
          <w:color w:val="6E6158"/>
        </w:rPr>
        <w:t>involved</w:t>
      </w:r>
      <w:r>
        <w:rPr>
          <w:color w:val="6E6158"/>
          <w:spacing w:val="19"/>
        </w:rPr>
        <w:t> </w:t>
      </w:r>
      <w:r>
        <w:rPr>
          <w:color w:val="6E6158"/>
        </w:rPr>
        <w:t>in</w:t>
      </w:r>
      <w:r>
        <w:rPr>
          <w:color w:val="6E6158"/>
          <w:spacing w:val="19"/>
        </w:rPr>
        <w:t> </w:t>
      </w:r>
      <w:r>
        <w:rPr>
          <w:color w:val="6E6158"/>
        </w:rPr>
        <w:t>volunteering</w:t>
      </w:r>
      <w:r>
        <w:rPr>
          <w:color w:val="6E6158"/>
          <w:spacing w:val="19"/>
        </w:rPr>
        <w:t> </w:t>
      </w:r>
      <w:r>
        <w:rPr>
          <w:color w:val="6E6158"/>
        </w:rPr>
        <w:t>with</w:t>
      </w:r>
      <w:r>
        <w:rPr>
          <w:color w:val="6E6158"/>
          <w:spacing w:val="19"/>
        </w:rPr>
        <w:t> </w:t>
      </w:r>
      <w:r>
        <w:rPr>
          <w:color w:val="6E6158"/>
        </w:rPr>
        <w:t>ICAN</w:t>
      </w:r>
      <w:r>
        <w:rPr>
          <w:color w:val="6E6158"/>
          <w:spacing w:val="19"/>
        </w:rPr>
        <w:t> </w:t>
      </w:r>
      <w:r>
        <w:rPr>
          <w:color w:val="6E6158"/>
        </w:rPr>
        <w:t>–</w:t>
      </w:r>
      <w:r>
        <w:rPr>
          <w:color w:val="6E6158"/>
          <w:spacing w:val="19"/>
        </w:rPr>
        <w:t> </w:t>
      </w:r>
      <w:r>
        <w:rPr>
          <w:color w:val="6E6158"/>
        </w:rPr>
        <w:t>an</w:t>
      </w:r>
      <w:r>
        <w:rPr>
          <w:color w:val="6E6158"/>
          <w:spacing w:val="19"/>
        </w:rPr>
        <w:t> </w:t>
      </w:r>
      <w:r>
        <w:rPr>
          <w:color w:val="6E6158"/>
        </w:rPr>
        <w:t>award-winning and nationally recognized youth development program. She is also a member of the</w:t>
      </w:r>
      <w:r>
        <w:rPr>
          <w:color w:val="6E6158"/>
          <w:spacing w:val="40"/>
        </w:rPr>
        <w:t> </w:t>
      </w:r>
      <w:r>
        <w:rPr>
          <w:color w:val="6E6158"/>
        </w:rPr>
        <w:t>national Board of Directors for the Federal Bar Association and a national leader with the FBA’s</w:t>
      </w:r>
      <w:r>
        <w:rPr>
          <w:color w:val="6E6158"/>
          <w:spacing w:val="40"/>
        </w:rPr>
        <w:t> </w:t>
      </w:r>
      <w:r>
        <w:rPr>
          <w:color w:val="6E6158"/>
        </w:rPr>
        <w:t>Federal Litigation Section.</w:t>
      </w:r>
    </w:p>
    <w:p>
      <w:pPr>
        <w:pStyle w:val="BodyText"/>
        <w:spacing w:line="302" w:lineRule="auto" w:before="191"/>
        <w:ind w:right="323"/>
      </w:pPr>
      <w:r>
        <w:rPr>
          <w:color w:val="6E6158"/>
        </w:rPr>
        <w:t>Her two sons, Taylor and Brady, are her pride and joy, and her weekends are spent at their numerous sports and other events.</w:t>
      </w:r>
    </w:p>
    <w:p>
      <w:pPr>
        <w:pStyle w:val="Heading2"/>
        <w:spacing w:before="152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2760"/>
      </w:pPr>
      <w:r>
        <w:rPr>
          <w:color w:val="6E6158"/>
        </w:rPr>
        <w:t>J.D. Arizona State University, Sandra Day O’Connor College of </w:t>
      </w:r>
      <w:r>
        <w:rPr>
          <w:color w:val="6E6158"/>
        </w:rPr>
        <w:t>Law</w:t>
      </w:r>
      <w:r>
        <w:rPr>
          <w:color w:val="6E6158"/>
        </w:rPr>
        <w:t> B.A., Political Science, Sociology, University of Arizona</w:t>
      </w:r>
    </w:p>
    <w:p>
      <w:pPr>
        <w:spacing w:before="29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43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Litigation</w:t>
      </w:r>
    </w:p>
    <w:p>
      <w:pPr>
        <w:pStyle w:val="BodyText"/>
        <w:spacing w:before="63"/>
        <w:ind w:left="0"/>
      </w:pPr>
    </w:p>
    <w:p>
      <w:pPr>
        <w:pStyle w:val="BodyText"/>
        <w:spacing w:line="427" w:lineRule="auto"/>
        <w:ind w:right="7247"/>
      </w:pPr>
      <w:r>
        <w:rPr>
          <w:color w:val="6E6158"/>
        </w:rPr>
        <w:t>Business </w:t>
      </w:r>
      <w:r>
        <w:rPr>
          <w:color w:val="6E6158"/>
        </w:rPr>
        <w:t>Litigation Health Care</w:t>
      </w:r>
    </w:p>
    <w:p>
      <w:pPr>
        <w:pStyle w:val="BodyText"/>
        <w:spacing w:line="420" w:lineRule="auto"/>
        <w:ind w:right="7247"/>
      </w:pPr>
      <w:r>
        <w:rPr>
          <w:color w:val="6E6158"/>
        </w:rPr>
        <w:t>Real Estate Intellectual </w:t>
      </w:r>
      <w:r>
        <w:rPr>
          <w:color w:val="6E6158"/>
        </w:rPr>
        <w:t>Property</w:t>
      </w:r>
    </w:p>
    <w:p>
      <w:pPr>
        <w:pStyle w:val="BodyText"/>
      </w:pPr>
      <w:r>
        <w:rPr>
          <w:color w:val="6E6158"/>
        </w:rPr>
        <w:t>Automotive</w:t>
      </w:r>
      <w:r>
        <w:rPr>
          <w:color w:val="6E6158"/>
          <w:spacing w:val="22"/>
        </w:rPr>
        <w:t> </w:t>
      </w:r>
      <w:r>
        <w:rPr>
          <w:color w:val="6E6158"/>
          <w:spacing w:val="-2"/>
        </w:rPr>
        <w:t>Dealership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5" w:lineRule="auto"/>
        <w:ind w:right="478"/>
      </w:pPr>
      <w:r>
        <w:rPr>
          <w:color w:val="6E6158"/>
        </w:rPr>
        <w:t>Represented</w:t>
      </w:r>
      <w:r>
        <w:rPr>
          <w:color w:val="6E6158"/>
          <w:spacing w:val="15"/>
        </w:rPr>
        <w:t> </w:t>
      </w:r>
      <w:r>
        <w:rPr>
          <w:color w:val="6E6158"/>
        </w:rPr>
        <w:t>the</w:t>
      </w:r>
      <w:r>
        <w:rPr>
          <w:color w:val="6E6158"/>
          <w:spacing w:val="15"/>
        </w:rPr>
        <w:t> </w:t>
      </w:r>
      <w:r>
        <w:rPr>
          <w:color w:val="6E6158"/>
        </w:rPr>
        <w:t>State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Arizona,</w:t>
      </w:r>
      <w:r>
        <w:rPr>
          <w:color w:val="6E6158"/>
          <w:spacing w:val="15"/>
        </w:rPr>
        <w:t> </w:t>
      </w:r>
      <w:r>
        <w:rPr>
          <w:color w:val="6E6158"/>
        </w:rPr>
        <w:t>Arizona</w:t>
      </w:r>
      <w:r>
        <w:rPr>
          <w:color w:val="6E6158"/>
          <w:spacing w:val="15"/>
        </w:rPr>
        <w:t> </w:t>
      </w:r>
      <w:r>
        <w:rPr>
          <w:color w:val="6E6158"/>
        </w:rPr>
        <w:t>Department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Transportation,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5"/>
        </w:rPr>
        <w:t> </w:t>
      </w:r>
      <w:r>
        <w:rPr>
          <w:color w:val="6E6158"/>
        </w:rPr>
        <w:t>a</w:t>
      </w:r>
      <w:r>
        <w:rPr>
          <w:color w:val="6E6158"/>
          <w:spacing w:val="15"/>
        </w:rPr>
        <w:t> </w:t>
      </w:r>
      <w:r>
        <w:rPr>
          <w:color w:val="6E6158"/>
        </w:rPr>
        <w:t>more</w:t>
      </w:r>
      <w:r>
        <w:rPr>
          <w:color w:val="6E6158"/>
          <w:spacing w:val="15"/>
        </w:rPr>
        <w:t> </w:t>
      </w:r>
      <w:r>
        <w:rPr>
          <w:color w:val="6E6158"/>
        </w:rPr>
        <w:t>than</w:t>
      </w:r>
      <w:r>
        <w:rPr>
          <w:color w:val="6E6158"/>
          <w:spacing w:val="15"/>
        </w:rPr>
        <w:t> </w:t>
      </w:r>
      <w:r>
        <w:rPr>
          <w:color w:val="6E6158"/>
        </w:rPr>
        <w:t>four-year long litigation resulting from flooding that damaged properties in Southern Arizona,</w:t>
      </w:r>
      <w:r>
        <w:rPr>
          <w:color w:val="6E6158"/>
          <w:spacing w:val="40"/>
        </w:rPr>
        <w:t> </w:t>
      </w:r>
      <w:r>
        <w:rPr>
          <w:color w:val="6E6158"/>
        </w:rPr>
        <w:t>culminating in a 2-week trial after which the court found in favor of the State of Arizona on all</w:t>
      </w:r>
      <w:r>
        <w:rPr>
          <w:color w:val="6E6158"/>
          <w:spacing w:val="40"/>
        </w:rPr>
        <w:t> </w:t>
      </w:r>
      <w:r>
        <w:rPr>
          <w:color w:val="6E6158"/>
        </w:rPr>
        <w:t>claims and issues.</w:t>
      </w:r>
    </w:p>
    <w:p>
      <w:pPr>
        <w:pStyle w:val="BodyText"/>
        <w:spacing w:line="295" w:lineRule="auto" w:before="123"/>
        <w:ind w:right="323"/>
      </w:pPr>
      <w:r>
        <w:rPr>
          <w:color w:val="6E6158"/>
        </w:rPr>
        <w:t>Represented the State of Arizona, Arizona Department of Transportation, in a 135-plaintiff mass</w:t>
      </w:r>
      <w:r>
        <w:rPr>
          <w:color w:val="6E6158"/>
          <w:spacing w:val="40"/>
        </w:rPr>
        <w:t> </w:t>
      </w:r>
      <w:r>
        <w:rPr>
          <w:color w:val="6E6158"/>
        </w:rPr>
        <w:t>action</w:t>
      </w:r>
      <w:r>
        <w:rPr>
          <w:color w:val="6E6158"/>
          <w:spacing w:val="29"/>
        </w:rPr>
        <w:t> </w:t>
      </w:r>
      <w:r>
        <w:rPr>
          <w:color w:val="6E6158"/>
        </w:rPr>
        <w:t>seeking</w:t>
      </w:r>
      <w:r>
        <w:rPr>
          <w:color w:val="6E6158"/>
          <w:spacing w:val="29"/>
        </w:rPr>
        <w:t> </w:t>
      </w:r>
      <w:r>
        <w:rPr>
          <w:color w:val="6E6158"/>
        </w:rPr>
        <w:t>8</w:t>
      </w:r>
      <w:r>
        <w:rPr>
          <w:color w:val="6E6158"/>
          <w:spacing w:val="29"/>
        </w:rPr>
        <w:t> </w:t>
      </w:r>
      <w:r>
        <w:rPr>
          <w:color w:val="6E6158"/>
        </w:rPr>
        <w:t>figures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damages</w:t>
      </w:r>
      <w:r>
        <w:rPr>
          <w:color w:val="6E6158"/>
          <w:spacing w:val="29"/>
        </w:rPr>
        <w:t> </w:t>
      </w:r>
      <w:r>
        <w:rPr>
          <w:color w:val="6E6158"/>
        </w:rPr>
        <w:t>resulting</w:t>
      </w:r>
      <w:r>
        <w:rPr>
          <w:color w:val="6E6158"/>
          <w:spacing w:val="29"/>
        </w:rPr>
        <w:t> </w:t>
      </w:r>
      <w:r>
        <w:rPr>
          <w:color w:val="6E6158"/>
        </w:rPr>
        <w:t>from</w:t>
      </w:r>
      <w:r>
        <w:rPr>
          <w:color w:val="6E6158"/>
          <w:spacing w:val="29"/>
        </w:rPr>
        <w:t> </w:t>
      </w:r>
      <w:r>
        <w:rPr>
          <w:color w:val="6E6158"/>
        </w:rPr>
        <w:t>flooding</w:t>
      </w:r>
      <w:r>
        <w:rPr>
          <w:color w:val="6E6158"/>
          <w:spacing w:val="29"/>
        </w:rPr>
        <w:t> </w:t>
      </w:r>
      <w:r>
        <w:rPr>
          <w:color w:val="6E6158"/>
        </w:rPr>
        <w:t>that</w:t>
      </w:r>
      <w:r>
        <w:rPr>
          <w:color w:val="6E6158"/>
          <w:spacing w:val="29"/>
        </w:rPr>
        <w:t> </w:t>
      </w:r>
      <w:r>
        <w:rPr>
          <w:color w:val="6E6158"/>
        </w:rPr>
        <w:t>occurred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Mesa,</w:t>
      </w:r>
      <w:r>
        <w:rPr>
          <w:color w:val="6E6158"/>
          <w:spacing w:val="29"/>
        </w:rPr>
        <w:t> </w:t>
      </w:r>
      <w:r>
        <w:rPr>
          <w:color w:val="6E6158"/>
        </w:rPr>
        <w:t>Arizona, along the U.S. 60 freeway. Following a hard fought and complex 3-week jury trial, we obtained a</w:t>
      </w:r>
      <w:r>
        <w:rPr>
          <w:color w:val="6E6158"/>
          <w:spacing w:val="40"/>
        </w:rPr>
        <w:t> </w:t>
      </w:r>
      <w:r>
        <w:rPr>
          <w:color w:val="6E6158"/>
        </w:rPr>
        <w:t>unanimous jury verdict on all of plaintiffs’ claims. The jury also unanimously found that we</w:t>
      </w:r>
      <w:r>
        <w:rPr>
          <w:color w:val="6E6158"/>
          <w:spacing w:val="40"/>
        </w:rPr>
        <w:t> </w:t>
      </w:r>
      <w:r>
        <w:rPr>
          <w:color w:val="6E6158"/>
        </w:rPr>
        <w:t>established the “State of the Art” affirmative defense, which would have barred any liability that</w:t>
      </w:r>
      <w:r>
        <w:rPr>
          <w:color w:val="6E6158"/>
          <w:spacing w:val="40"/>
        </w:rPr>
        <w:t> </w:t>
      </w:r>
      <w:r>
        <w:rPr>
          <w:color w:val="6E6158"/>
        </w:rPr>
        <w:t>otherwise might have been established.</w:t>
      </w:r>
    </w:p>
    <w:p>
      <w:pPr>
        <w:pStyle w:val="BodyText"/>
        <w:spacing w:line="292" w:lineRule="auto" w:before="128"/>
        <w:ind w:right="323"/>
      </w:pPr>
      <w:r>
        <w:rPr>
          <w:color w:val="6E6158"/>
        </w:rPr>
        <w:t>Represent one of the largest and fastest growing national online vehicle sales and </w:t>
      </w:r>
      <w:r>
        <w:rPr>
          <w:color w:val="6E6158"/>
        </w:rPr>
        <w:t>logistics</w:t>
      </w:r>
      <w:r>
        <w:rPr>
          <w:color w:val="6E6158"/>
          <w:spacing w:val="40"/>
        </w:rPr>
        <w:t> </w:t>
      </w:r>
      <w:r>
        <w:rPr>
          <w:color w:val="6E6158"/>
        </w:rPr>
        <w:t>companies</w:t>
      </w:r>
      <w:r>
        <w:rPr>
          <w:color w:val="6E6158"/>
          <w:spacing w:val="40"/>
        </w:rPr>
        <w:t>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numerous</w:t>
      </w:r>
      <w:r>
        <w:rPr>
          <w:color w:val="6E6158"/>
          <w:spacing w:val="40"/>
        </w:rPr>
        <w:t> </w:t>
      </w:r>
      <w:r>
        <w:rPr>
          <w:color w:val="6E6158"/>
        </w:rPr>
        <w:t>matters,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contract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consumer-related</w:t>
      </w:r>
      <w:r>
        <w:rPr>
          <w:color w:val="6E6158"/>
          <w:spacing w:val="40"/>
        </w:rPr>
        <w:t> </w:t>
      </w:r>
      <w:r>
        <w:rPr>
          <w:color w:val="6E6158"/>
        </w:rPr>
        <w:t>disputes.</w:t>
      </w:r>
    </w:p>
    <w:p>
      <w:pPr>
        <w:pStyle w:val="BodyText"/>
        <w:spacing w:line="292" w:lineRule="auto" w:before="124"/>
        <w:ind w:right="323"/>
      </w:pPr>
      <w:r>
        <w:rPr>
          <w:color w:val="6E6158"/>
        </w:rPr>
        <w:t>Represent one of the nation’s largest health insurers in various disputes, including </w:t>
      </w:r>
      <w:r>
        <w:rPr>
          <w:color w:val="6E6158"/>
        </w:rPr>
        <w:t>commercial</w:t>
      </w:r>
      <w:r>
        <w:rPr>
          <w:color w:val="6E6158"/>
          <w:spacing w:val="40"/>
        </w:rPr>
        <w:t> </w:t>
      </w:r>
      <w:r>
        <w:rPr>
          <w:color w:val="6E6158"/>
        </w:rPr>
        <w:t>disputes, coverage actions, bad faith, ERISA claims, and regulatory matters.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273"/>
      </w:pPr>
      <w:r>
        <w:rPr>
          <w:color w:val="6E6158"/>
        </w:rPr>
        <w:t>Achieved early dismissal of large California pension plan in federal court litigation involving </w:t>
      </w:r>
      <w:r>
        <w:rPr>
          <w:color w:val="6E6158"/>
        </w:rPr>
        <w:t>claim</w:t>
      </w:r>
      <w:r>
        <w:rPr>
          <w:color w:val="6E6158"/>
          <w:spacing w:val="40"/>
        </w:rPr>
        <w:t> </w:t>
      </w:r>
      <w:r>
        <w:rPr>
          <w:color w:val="6E6158"/>
        </w:rPr>
        <w:t>for benefits.</w:t>
      </w:r>
    </w:p>
    <w:p>
      <w:pPr>
        <w:pStyle w:val="BodyText"/>
        <w:spacing w:line="292" w:lineRule="auto" w:before="132"/>
        <w:ind w:right="323"/>
      </w:pPr>
      <w:r>
        <w:rPr>
          <w:color w:val="6E6158"/>
        </w:rPr>
        <w:t>Prosecuted claims against contractor and negotiated favorable settlement in favor of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country’s second largest waste management company in slope failures case.</w:t>
      </w:r>
    </w:p>
    <w:p>
      <w:pPr>
        <w:pStyle w:val="BodyText"/>
        <w:spacing w:line="292" w:lineRule="auto" w:before="123"/>
        <w:ind w:right="161"/>
      </w:pPr>
      <w:r>
        <w:rPr>
          <w:color w:val="6E6158"/>
        </w:rPr>
        <w:t>Achieved</w:t>
      </w:r>
      <w:r>
        <w:rPr>
          <w:color w:val="6E6158"/>
          <w:spacing w:val="16"/>
        </w:rPr>
        <w:t> </w:t>
      </w:r>
      <w:r>
        <w:rPr>
          <w:color w:val="6E6158"/>
        </w:rPr>
        <w:t>early</w:t>
      </w:r>
      <w:r>
        <w:rPr>
          <w:color w:val="6E6158"/>
          <w:spacing w:val="16"/>
        </w:rPr>
        <w:t> </w:t>
      </w:r>
      <w:r>
        <w:rPr>
          <w:color w:val="6E6158"/>
        </w:rPr>
        <w:t>dismissal</w:t>
      </w:r>
      <w:r>
        <w:rPr>
          <w:color w:val="6E6158"/>
          <w:spacing w:val="16"/>
        </w:rPr>
        <w:t> </w:t>
      </w:r>
      <w:r>
        <w:rPr>
          <w:color w:val="6E6158"/>
        </w:rPr>
        <w:t>through</w:t>
      </w:r>
      <w:r>
        <w:rPr>
          <w:color w:val="6E6158"/>
          <w:spacing w:val="16"/>
        </w:rPr>
        <w:t> </w:t>
      </w:r>
      <w:r>
        <w:rPr>
          <w:color w:val="6E6158"/>
        </w:rPr>
        <w:t>application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qualified</w:t>
      </w:r>
      <w:r>
        <w:rPr>
          <w:color w:val="6E6158"/>
          <w:spacing w:val="16"/>
        </w:rPr>
        <w:t> </w:t>
      </w:r>
      <w:r>
        <w:rPr>
          <w:color w:val="6E6158"/>
        </w:rPr>
        <w:t>immunity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public</w:t>
      </w:r>
      <w:r>
        <w:rPr>
          <w:color w:val="6E6158"/>
          <w:spacing w:val="16"/>
        </w:rPr>
        <w:t> </w:t>
      </w:r>
      <w:r>
        <w:rPr>
          <w:color w:val="6E6158"/>
        </w:rPr>
        <w:t>employee</w:t>
      </w:r>
      <w:r>
        <w:rPr>
          <w:color w:val="6E6158"/>
          <w:spacing w:val="16"/>
        </w:rPr>
        <w:t> </w:t>
      </w:r>
      <w:r>
        <w:rPr>
          <w:color w:val="6E6158"/>
        </w:rPr>
        <w:t>in</w:t>
      </w:r>
      <w:r>
        <w:rPr>
          <w:color w:val="6E6158"/>
          <w:spacing w:val="16"/>
        </w:rPr>
        <w:t> </w:t>
      </w:r>
      <w:r>
        <w:rPr>
          <w:color w:val="6E6158"/>
        </w:rPr>
        <w:t>a</w:t>
      </w:r>
      <w:r>
        <w:rPr>
          <w:color w:val="6E6158"/>
          <w:spacing w:val="16"/>
        </w:rPr>
        <w:t> </w:t>
      </w:r>
      <w:r>
        <w:rPr>
          <w:color w:val="6E6158"/>
        </w:rPr>
        <w:t>high-profile</w:t>
      </w:r>
      <w:r>
        <w:rPr>
          <w:color w:val="6E6158"/>
          <w:spacing w:val="30"/>
        </w:rPr>
        <w:t> </w:t>
      </w:r>
      <w:r>
        <w:rPr>
          <w:color w:val="6E6158"/>
        </w:rPr>
        <w:t>tort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personal</w:t>
      </w:r>
      <w:r>
        <w:rPr>
          <w:color w:val="6E6158"/>
          <w:spacing w:val="30"/>
        </w:rPr>
        <w:t> </w:t>
      </w:r>
      <w:r>
        <w:rPr>
          <w:color w:val="6E6158"/>
        </w:rPr>
        <w:t>injury</w:t>
      </w:r>
      <w:r>
        <w:rPr>
          <w:color w:val="6E6158"/>
          <w:spacing w:val="30"/>
        </w:rPr>
        <w:t> </w:t>
      </w:r>
      <w:r>
        <w:rPr>
          <w:color w:val="6E6158"/>
        </w:rPr>
        <w:t>case</w:t>
      </w:r>
      <w:r>
        <w:rPr>
          <w:color w:val="6E6158"/>
          <w:spacing w:val="30"/>
        </w:rPr>
        <w:t> </w:t>
      </w:r>
      <w:r>
        <w:rPr>
          <w:color w:val="6E6158"/>
        </w:rPr>
        <w:t>alleging</w:t>
      </w:r>
      <w:r>
        <w:rPr>
          <w:color w:val="6E6158"/>
          <w:spacing w:val="30"/>
        </w:rPr>
        <w:t> </w:t>
      </w:r>
      <w:r>
        <w:rPr>
          <w:color w:val="6E6158"/>
        </w:rPr>
        <w:t>negligence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breach</w:t>
      </w:r>
      <w:r>
        <w:rPr>
          <w:color w:val="6E6158"/>
          <w:spacing w:val="30"/>
        </w:rPr>
        <w:t> </w:t>
      </w:r>
      <w:r>
        <w:rPr>
          <w:color w:val="6E6158"/>
        </w:rPr>
        <w:t>of</w:t>
      </w:r>
      <w:r>
        <w:rPr>
          <w:color w:val="6E6158"/>
          <w:spacing w:val="30"/>
        </w:rPr>
        <w:t> </w:t>
      </w:r>
      <w:r>
        <w:rPr>
          <w:color w:val="6E6158"/>
        </w:rPr>
        <w:t>duty</w:t>
      </w:r>
      <w:r>
        <w:rPr>
          <w:color w:val="6E6158"/>
          <w:spacing w:val="30"/>
        </w:rPr>
        <w:t> </w:t>
      </w:r>
      <w:r>
        <w:rPr>
          <w:color w:val="6E6158"/>
        </w:rPr>
        <w:t>claims.</w:t>
      </w:r>
    </w:p>
    <w:p>
      <w:pPr>
        <w:pStyle w:val="BodyText"/>
        <w:spacing w:line="292" w:lineRule="auto" w:before="131"/>
        <w:ind w:right="323"/>
      </w:pPr>
      <w:r>
        <w:rPr>
          <w:color w:val="6E6158"/>
        </w:rPr>
        <w:t>Represent military weapons systems manufacturer in trade secret misappropriation and </w:t>
      </w:r>
      <w:r>
        <w:rPr>
          <w:color w:val="6E6158"/>
        </w:rPr>
        <w:t>patent</w:t>
      </w:r>
      <w:r>
        <w:rPr>
          <w:color w:val="6E6158"/>
          <w:spacing w:val="40"/>
        </w:rPr>
        <w:t> </w:t>
      </w:r>
      <w:r>
        <w:rPr>
          <w:color w:val="6E6158"/>
        </w:rPr>
        <w:t>claims case.</w:t>
      </w:r>
    </w:p>
    <w:p>
      <w:pPr>
        <w:pStyle w:val="BodyText"/>
        <w:spacing w:line="297" w:lineRule="auto" w:before="124"/>
        <w:ind w:right="323"/>
      </w:pPr>
      <w:r>
        <w:rPr>
          <w:color w:val="6E6158"/>
        </w:rPr>
        <w:t>Represented a national franchisor of massage and spa clinics with franchises in 49 states,</w:t>
      </w:r>
      <w:r>
        <w:rPr>
          <w:color w:val="6E6158"/>
          <w:spacing w:val="40"/>
        </w:rPr>
        <w:t> </w:t>
      </w:r>
      <w:r>
        <w:rPr>
          <w:color w:val="6E6158"/>
        </w:rPr>
        <w:t>including serving as co-lead member of the franchisor’s national defense counsel team </w:t>
      </w:r>
      <w:r>
        <w:rPr>
          <w:color w:val="6E6158"/>
        </w:rPr>
        <w:t>for</w:t>
      </w:r>
      <w:r>
        <w:rPr>
          <w:color w:val="6E6158"/>
          <w:spacing w:val="40"/>
        </w:rPr>
        <w:t> </w:t>
      </w:r>
      <w:r>
        <w:rPr>
          <w:color w:val="6E6158"/>
        </w:rPr>
        <w:t>various kinds of tort claims.</w:t>
      </w:r>
    </w:p>
    <w:p>
      <w:pPr>
        <w:pStyle w:val="BodyText"/>
        <w:spacing w:line="292" w:lineRule="auto" w:before="118"/>
        <w:ind w:right="550"/>
      </w:pPr>
      <w:r>
        <w:rPr>
          <w:color w:val="6E6158"/>
        </w:rPr>
        <w:t>Defended and negotiated a favorable settlement of non-compete, trade secret misappropriation and unfair competition claims brought against a high-level sales </w:t>
      </w:r>
      <w:r>
        <w:rPr>
          <w:color w:val="6E6158"/>
        </w:rPr>
        <w:t>employee</w:t>
      </w:r>
      <w:r>
        <w:rPr>
          <w:color w:val="6E6158"/>
          <w:spacing w:val="40"/>
        </w:rPr>
        <w:t> </w:t>
      </w:r>
      <w:r>
        <w:rPr>
          <w:color w:val="6E6158"/>
        </w:rPr>
        <w:t>after his departure from a prior employer.</w:t>
      </w:r>
    </w:p>
    <w:p>
      <w:pPr>
        <w:pStyle w:val="BodyText"/>
        <w:spacing w:line="292" w:lineRule="auto" w:before="132"/>
        <w:ind w:right="323"/>
      </w:pPr>
      <w:r>
        <w:rPr>
          <w:color w:val="6E6158"/>
        </w:rPr>
        <w:t>Defended credit card processing company in numerous putative class action cases that were</w:t>
      </w:r>
      <w:r>
        <w:rPr>
          <w:color w:val="6E6158"/>
          <w:spacing w:val="40"/>
        </w:rPr>
        <w:t> </w:t>
      </w:r>
      <w:r>
        <w:rPr>
          <w:color w:val="6E6158"/>
        </w:rPr>
        <w:t>consolidated and transferred to a multi-district litigation involving claims arising out of one of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largest alleged pyramid and Ponzi schemes in U.S. history.</w:t>
      </w:r>
    </w:p>
    <w:p>
      <w:pPr>
        <w:pStyle w:val="BodyText"/>
        <w:spacing w:line="292" w:lineRule="auto" w:before="132"/>
        <w:ind w:right="323"/>
      </w:pPr>
      <w:r>
        <w:rPr>
          <w:color w:val="6E6158"/>
        </w:rPr>
        <w:t>Achieved dismissal of payment gateway provider in same multi-district litigation involving </w:t>
      </w:r>
      <w:r>
        <w:rPr>
          <w:color w:val="6E6158"/>
        </w:rPr>
        <w:t>claims</w:t>
      </w:r>
      <w:r>
        <w:rPr>
          <w:color w:val="6E6158"/>
          <w:spacing w:val="40"/>
        </w:rPr>
        <w:t> </w:t>
      </w:r>
      <w:r>
        <w:rPr>
          <w:color w:val="6E6158"/>
        </w:rPr>
        <w:t>arising</w:t>
      </w:r>
      <w:r>
        <w:rPr>
          <w:color w:val="6E6158"/>
          <w:spacing w:val="25"/>
        </w:rPr>
        <w:t> </w:t>
      </w:r>
      <w:r>
        <w:rPr>
          <w:color w:val="6E6158"/>
        </w:rPr>
        <w:t>out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one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largest</w:t>
      </w:r>
      <w:r>
        <w:rPr>
          <w:color w:val="6E6158"/>
          <w:spacing w:val="25"/>
        </w:rPr>
        <w:t> </w:t>
      </w:r>
      <w:r>
        <w:rPr>
          <w:color w:val="6E6158"/>
        </w:rPr>
        <w:t>alleged</w:t>
      </w:r>
      <w:r>
        <w:rPr>
          <w:color w:val="6E6158"/>
          <w:spacing w:val="25"/>
        </w:rPr>
        <w:t> </w:t>
      </w:r>
      <w:r>
        <w:rPr>
          <w:color w:val="6E6158"/>
        </w:rPr>
        <w:t>pyramid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Ponzi</w:t>
      </w:r>
      <w:r>
        <w:rPr>
          <w:color w:val="6E6158"/>
          <w:spacing w:val="25"/>
        </w:rPr>
        <w:t> </w:t>
      </w:r>
      <w:r>
        <w:rPr>
          <w:color w:val="6E6158"/>
        </w:rPr>
        <w:t>schemes</w:t>
      </w:r>
      <w:r>
        <w:rPr>
          <w:color w:val="6E6158"/>
          <w:spacing w:val="25"/>
        </w:rPr>
        <w:t> </w:t>
      </w:r>
      <w:r>
        <w:rPr>
          <w:color w:val="6E6158"/>
        </w:rPr>
        <w:t>in</w:t>
      </w:r>
      <w:r>
        <w:rPr>
          <w:color w:val="6E6158"/>
          <w:spacing w:val="25"/>
        </w:rPr>
        <w:t> </w:t>
      </w:r>
      <w:r>
        <w:rPr>
          <w:color w:val="6E6158"/>
        </w:rPr>
        <w:t>U.S.</w:t>
      </w:r>
      <w:r>
        <w:rPr>
          <w:color w:val="6E6158"/>
          <w:spacing w:val="25"/>
        </w:rPr>
        <w:t> </w:t>
      </w:r>
      <w:r>
        <w:rPr>
          <w:color w:val="6E6158"/>
        </w:rPr>
        <w:t>history.</w:t>
      </w:r>
    </w:p>
    <w:p>
      <w:pPr>
        <w:pStyle w:val="BodyText"/>
        <w:spacing w:line="297" w:lineRule="auto" w:before="123"/>
        <w:ind w:right="323"/>
      </w:pPr>
      <w:r>
        <w:rPr>
          <w:color w:val="6E6158"/>
        </w:rPr>
        <w:t>Representation</w:t>
      </w:r>
      <w:r>
        <w:rPr>
          <w:color w:val="6E6158"/>
          <w:spacing w:val="37"/>
        </w:rPr>
        <w:t> </w:t>
      </w:r>
      <w:r>
        <w:rPr>
          <w:color w:val="6E6158"/>
        </w:rPr>
        <w:t>of</w:t>
      </w:r>
      <w:r>
        <w:rPr>
          <w:color w:val="6E6158"/>
          <w:spacing w:val="37"/>
        </w:rPr>
        <w:t> </w:t>
      </w:r>
      <w:r>
        <w:rPr>
          <w:color w:val="6E6158"/>
        </w:rPr>
        <w:t>third-party</w:t>
      </w:r>
      <w:r>
        <w:rPr>
          <w:color w:val="6E6158"/>
          <w:spacing w:val="37"/>
        </w:rPr>
        <w:t> </w:t>
      </w:r>
      <w:r>
        <w:rPr>
          <w:color w:val="6E6158"/>
        </w:rPr>
        <w:t>payment</w:t>
      </w:r>
      <w:r>
        <w:rPr>
          <w:color w:val="6E6158"/>
          <w:spacing w:val="37"/>
        </w:rPr>
        <w:t> </w:t>
      </w:r>
      <w:r>
        <w:rPr>
          <w:color w:val="6E6158"/>
        </w:rPr>
        <w:t>processor</w:t>
      </w:r>
      <w:r>
        <w:rPr>
          <w:color w:val="6E6158"/>
          <w:spacing w:val="37"/>
        </w:rPr>
        <w:t> </w:t>
      </w:r>
      <w:r>
        <w:rPr>
          <w:color w:val="6E6158"/>
        </w:rPr>
        <w:t>as</w:t>
      </w:r>
      <w:r>
        <w:rPr>
          <w:color w:val="6E6158"/>
          <w:spacing w:val="37"/>
        </w:rPr>
        <w:t> </w:t>
      </w:r>
      <w:r>
        <w:rPr>
          <w:color w:val="6E6158"/>
        </w:rPr>
        <w:t>outside</w:t>
      </w:r>
      <w:r>
        <w:rPr>
          <w:color w:val="6E6158"/>
          <w:spacing w:val="37"/>
        </w:rPr>
        <w:t> </w:t>
      </w:r>
      <w:r>
        <w:rPr>
          <w:color w:val="6E6158"/>
        </w:rPr>
        <w:t>general</w:t>
      </w:r>
      <w:r>
        <w:rPr>
          <w:color w:val="6E6158"/>
          <w:spacing w:val="37"/>
        </w:rPr>
        <w:t> </w:t>
      </w:r>
      <w:r>
        <w:rPr>
          <w:color w:val="6E6158"/>
        </w:rPr>
        <w:t>counsel</w:t>
      </w:r>
      <w:r>
        <w:rPr>
          <w:color w:val="6E6158"/>
          <w:spacing w:val="37"/>
        </w:rPr>
        <w:t> </w:t>
      </w:r>
      <w:r>
        <w:rPr>
          <w:color w:val="6E6158"/>
        </w:rPr>
        <w:t>in</w:t>
      </w:r>
      <w:r>
        <w:rPr>
          <w:color w:val="6E6158"/>
          <w:spacing w:val="37"/>
        </w:rPr>
        <w:t> </w:t>
      </w:r>
      <w:r>
        <w:rPr>
          <w:color w:val="6E6158"/>
        </w:rPr>
        <w:t>numerous aspects of its business, including contract drafting and review, regulatory and compliance </w:t>
      </w:r>
      <w:r>
        <w:rPr>
          <w:color w:val="6E6158"/>
        </w:rPr>
        <w:t>issues,</w:t>
      </w:r>
      <w:r>
        <w:rPr>
          <w:color w:val="6E6158"/>
          <w:spacing w:val="40"/>
        </w:rPr>
        <w:t> </w:t>
      </w:r>
      <w:r>
        <w:rPr>
          <w:color w:val="6E6158"/>
        </w:rPr>
        <w:t>employment matters, and litigation.</w:t>
      </w:r>
    </w:p>
    <w:p>
      <w:pPr>
        <w:pStyle w:val="BodyText"/>
        <w:spacing w:line="292" w:lineRule="auto" w:before="118"/>
        <w:ind w:right="323"/>
      </w:pPr>
      <w:r>
        <w:rPr>
          <w:color w:val="6E6158"/>
        </w:rPr>
        <w:t>Represents clients in defending against vicarious liability and respondeat superior claims arising</w:t>
      </w:r>
      <w:r>
        <w:rPr>
          <w:color w:val="6E6158"/>
          <w:spacing w:val="40"/>
        </w:rPr>
        <w:t> </w:t>
      </w:r>
      <w:r>
        <w:rPr>
          <w:color w:val="6E6158"/>
        </w:rPr>
        <w:t>out of negligent and intentional conduct by employees, contractors, franchisees, and other </w:t>
      </w:r>
      <w:r>
        <w:rPr>
          <w:color w:val="6E6158"/>
        </w:rPr>
        <w:t>like</w:t>
      </w:r>
      <w:r>
        <w:rPr>
          <w:color w:val="6E6158"/>
          <w:spacing w:val="40"/>
        </w:rPr>
        <w:t> </w:t>
      </w:r>
      <w:r>
        <w:rPr>
          <w:color w:val="6E6158"/>
        </w:rPr>
        <w:t>individuals or entities.</w:t>
      </w:r>
    </w:p>
    <w:p>
      <w:pPr>
        <w:pStyle w:val="BodyText"/>
        <w:spacing w:line="292" w:lineRule="auto" w:before="132"/>
        <w:ind w:right="323"/>
      </w:pPr>
      <w:r>
        <w:rPr>
          <w:color w:val="6E6158"/>
        </w:rPr>
        <w:t>Defended large supplier of automated voice response systems in indemnification action </w:t>
      </w:r>
      <w:r>
        <w:rPr>
          <w:color w:val="6E6158"/>
        </w:rPr>
        <w:t>arising</w:t>
      </w:r>
      <w:r>
        <w:rPr>
          <w:color w:val="6E6158"/>
          <w:spacing w:val="40"/>
        </w:rPr>
        <w:t> </w:t>
      </w:r>
      <w:r>
        <w:rPr>
          <w:color w:val="6E6158"/>
        </w:rPr>
        <w:t>out of patent infringement claims alleged against a call processing center to whom the client</w:t>
      </w:r>
      <w:r>
        <w:rPr>
          <w:color w:val="6E6158"/>
          <w:spacing w:val="40"/>
        </w:rPr>
        <w:t> </w:t>
      </w:r>
      <w:r>
        <w:rPr>
          <w:color w:val="6E6158"/>
        </w:rPr>
        <w:t>provided its product.</w:t>
      </w:r>
    </w:p>
    <w:p>
      <w:pPr>
        <w:pStyle w:val="BodyText"/>
        <w:spacing w:line="297" w:lineRule="auto" w:before="124"/>
        <w:ind w:right="323"/>
      </w:pPr>
      <w:r>
        <w:rPr>
          <w:color w:val="6E6158"/>
        </w:rPr>
        <w:t>Represented a local fine dining restaurant group and was part of the team who negotiated a</w:t>
      </w:r>
      <w:r>
        <w:rPr>
          <w:color w:val="6E6158"/>
          <w:spacing w:val="40"/>
        </w:rPr>
        <w:t> </w:t>
      </w:r>
      <w:r>
        <w:rPr>
          <w:color w:val="6E6158"/>
        </w:rPr>
        <w:t>favorable settlement for client in actions involving claims of breach of a multi-million dollar</w:t>
      </w:r>
      <w:r>
        <w:rPr>
          <w:color w:val="6E6158"/>
          <w:spacing w:val="40"/>
        </w:rPr>
        <w:t> </w:t>
      </w:r>
      <w:r>
        <w:rPr>
          <w:color w:val="6E6158"/>
        </w:rPr>
        <w:t>promissory</w:t>
      </w:r>
      <w:r>
        <w:rPr>
          <w:color w:val="6E6158"/>
          <w:spacing w:val="34"/>
        </w:rPr>
        <w:t> </w:t>
      </w:r>
      <w:r>
        <w:rPr>
          <w:color w:val="6E6158"/>
        </w:rPr>
        <w:t>note</w:t>
      </w:r>
      <w:r>
        <w:rPr>
          <w:color w:val="6E6158"/>
          <w:spacing w:val="34"/>
        </w:rPr>
        <w:t> </w:t>
      </w:r>
      <w:r>
        <w:rPr>
          <w:color w:val="6E6158"/>
        </w:rPr>
        <w:t>against</w:t>
      </w:r>
      <w:r>
        <w:rPr>
          <w:color w:val="6E6158"/>
          <w:spacing w:val="34"/>
        </w:rPr>
        <w:t> </w:t>
      </w:r>
      <w:r>
        <w:rPr>
          <w:color w:val="6E6158"/>
        </w:rPr>
        <w:t>the</w:t>
      </w:r>
      <w:r>
        <w:rPr>
          <w:color w:val="6E6158"/>
          <w:spacing w:val="34"/>
        </w:rPr>
        <w:t> </w:t>
      </w:r>
      <w:r>
        <w:rPr>
          <w:color w:val="6E6158"/>
        </w:rPr>
        <w:t>financiers</w:t>
      </w:r>
      <w:r>
        <w:rPr>
          <w:color w:val="6E6158"/>
          <w:spacing w:val="34"/>
        </w:rPr>
        <w:t> </w:t>
      </w:r>
      <w:r>
        <w:rPr>
          <w:color w:val="6E6158"/>
        </w:rPr>
        <w:t>who</w:t>
      </w:r>
      <w:r>
        <w:rPr>
          <w:color w:val="6E6158"/>
          <w:spacing w:val="34"/>
        </w:rPr>
        <w:t> </w:t>
      </w:r>
      <w:r>
        <w:rPr>
          <w:color w:val="6E6158"/>
        </w:rPr>
        <w:t>purchased</w:t>
      </w:r>
      <w:r>
        <w:rPr>
          <w:color w:val="6E6158"/>
          <w:spacing w:val="34"/>
        </w:rPr>
        <w:t> </w:t>
      </w:r>
      <w:r>
        <w:rPr>
          <w:color w:val="6E6158"/>
        </w:rPr>
        <w:t>the</w:t>
      </w:r>
      <w:r>
        <w:rPr>
          <w:color w:val="6E6158"/>
          <w:spacing w:val="34"/>
        </w:rPr>
        <w:t> </w:t>
      </w:r>
      <w:r>
        <w:rPr>
          <w:color w:val="6E6158"/>
        </w:rPr>
        <w:t>restaurant</w:t>
      </w:r>
      <w:r>
        <w:rPr>
          <w:color w:val="6E6158"/>
          <w:spacing w:val="34"/>
        </w:rPr>
        <w:t> </w:t>
      </w:r>
      <w:r>
        <w:rPr>
          <w:color w:val="6E6158"/>
        </w:rPr>
        <w:t>group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defending</w:t>
      </w:r>
    </w:p>
    <w:p>
      <w:pPr>
        <w:pStyle w:val="BodyText"/>
        <w:spacing w:line="302" w:lineRule="auto"/>
        <w:ind w:right="323"/>
      </w:pPr>
      <w:r>
        <w:rPr>
          <w:color w:val="6E6158"/>
        </w:rPr>
        <w:t>against trademark and trade dress infringement claims asserted by the purchaser against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restaurant group.</w:t>
      </w:r>
    </w:p>
    <w:p>
      <w:pPr>
        <w:pStyle w:val="BodyText"/>
        <w:spacing w:line="295" w:lineRule="auto" w:before="109"/>
        <w:ind w:right="381"/>
      </w:pPr>
      <w:r>
        <w:rPr>
          <w:color w:val="6E6158"/>
        </w:rPr>
        <w:t>Represented a large solid waste company in arbitration regarding a success fee and royalty</w:t>
      </w:r>
      <w:r>
        <w:rPr>
          <w:color w:val="6E6158"/>
          <w:spacing w:val="40"/>
        </w:rPr>
        <w:t> </w:t>
      </w:r>
      <w:r>
        <w:rPr>
          <w:color w:val="6E6158"/>
        </w:rPr>
        <w:t>contract where the claimant contended it had earned a large success fee and multi-million</w:t>
      </w:r>
      <w:r>
        <w:rPr>
          <w:color w:val="6E6158"/>
          <w:spacing w:val="40"/>
        </w:rPr>
        <w:t> </w:t>
      </w:r>
      <w:r>
        <w:rPr>
          <w:color w:val="6E6158"/>
        </w:rPr>
        <w:t>dollar royalty in connection with a landfill expansion. After a full evidentiary hearing, the</w:t>
      </w:r>
      <w:r>
        <w:rPr>
          <w:color w:val="6E6158"/>
          <w:spacing w:val="40"/>
        </w:rPr>
        <w:t> </w:t>
      </w:r>
      <w:r>
        <w:rPr>
          <w:color w:val="6E6158"/>
        </w:rPr>
        <w:t>arbitrator ruled that the claimant had not established entitlement to either the success fee or</w:t>
      </w:r>
      <w:r>
        <w:rPr>
          <w:color w:val="6E6158"/>
          <w:spacing w:val="40"/>
        </w:rPr>
        <w:t> </w:t>
      </w:r>
      <w:r>
        <w:rPr>
          <w:color w:val="6E6158"/>
        </w:rPr>
        <w:t>royalty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issued</w:t>
      </w:r>
      <w:r>
        <w:rPr>
          <w:color w:val="6E6158"/>
          <w:spacing w:val="13"/>
        </w:rPr>
        <w:t> </w:t>
      </w:r>
      <w:r>
        <w:rPr>
          <w:color w:val="6E6158"/>
        </w:rPr>
        <w:t>an</w:t>
      </w:r>
      <w:r>
        <w:rPr>
          <w:color w:val="6E6158"/>
          <w:spacing w:val="13"/>
        </w:rPr>
        <w:t> </w:t>
      </w:r>
      <w:r>
        <w:rPr>
          <w:color w:val="6E6158"/>
        </w:rPr>
        <w:t>award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favor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waste</w:t>
      </w:r>
      <w:r>
        <w:rPr>
          <w:color w:val="6E6158"/>
          <w:spacing w:val="13"/>
        </w:rPr>
        <w:t> </w:t>
      </w:r>
      <w:r>
        <w:rPr>
          <w:color w:val="6E6158"/>
        </w:rPr>
        <w:t>company.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claimant</w:t>
      </w:r>
      <w:r>
        <w:rPr>
          <w:color w:val="6E6158"/>
          <w:spacing w:val="13"/>
        </w:rPr>
        <w:t> </w:t>
      </w:r>
      <w:r>
        <w:rPr>
          <w:color w:val="6E6158"/>
        </w:rPr>
        <w:t>moved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Arizona</w:t>
      </w:r>
    </w:p>
    <w:p>
      <w:pPr>
        <w:pStyle w:val="BodyText"/>
        <w:spacing w:line="292" w:lineRule="auto"/>
        <w:ind w:right="323"/>
      </w:pPr>
      <w:r>
        <w:rPr>
          <w:color w:val="6E6158"/>
        </w:rPr>
        <w:t>Superior Court to vacate the award. The court denied the motion to amend and confirmed the</w:t>
      </w:r>
      <w:r>
        <w:rPr>
          <w:color w:val="6E6158"/>
          <w:spacing w:val="40"/>
        </w:rPr>
        <w:t> </w:t>
      </w:r>
      <w:r>
        <w:rPr>
          <w:color w:val="6E6158"/>
        </w:rPr>
        <w:t>arbitration award.</w:t>
      </w:r>
    </w:p>
    <w:p>
      <w:pPr>
        <w:pStyle w:val="BodyText"/>
        <w:spacing w:line="292" w:lineRule="auto" w:before="131"/>
        <w:ind w:right="323"/>
      </w:pPr>
      <w:r>
        <w:rPr>
          <w:color w:val="6E6158"/>
        </w:rPr>
        <w:t>Defended claims by a putative class of consumers alleging unlawful pharmaceutical pricing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multi- district litigation matter.</w:t>
      </w:r>
    </w:p>
    <w:p>
      <w:pPr>
        <w:pStyle w:val="BodyText"/>
        <w:spacing w:line="292" w:lineRule="auto" w:before="123"/>
        <w:ind w:right="323"/>
      </w:pPr>
      <w:r>
        <w:rPr>
          <w:color w:val="6E6158"/>
        </w:rPr>
        <w:t>Represented a Japanese EPC subcontractor in arbitration of consolidated claims arising out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construction</w:t>
      </w:r>
      <w:r>
        <w:rPr>
          <w:color w:val="6E6158"/>
          <w:spacing w:val="33"/>
        </w:rPr>
        <w:t> </w:t>
      </w:r>
      <w:r>
        <w:rPr>
          <w:color w:val="6E6158"/>
        </w:rPr>
        <w:t>of</w:t>
      </w:r>
      <w:r>
        <w:rPr>
          <w:color w:val="6E6158"/>
          <w:spacing w:val="33"/>
        </w:rPr>
        <w:t> </w:t>
      </w:r>
      <w:r>
        <w:rPr>
          <w:color w:val="6E6158"/>
        </w:rPr>
        <w:t>a</w:t>
      </w:r>
      <w:r>
        <w:rPr>
          <w:color w:val="6E6158"/>
          <w:spacing w:val="33"/>
        </w:rPr>
        <w:t> </w:t>
      </w:r>
      <w:r>
        <w:rPr>
          <w:color w:val="6E6158"/>
        </w:rPr>
        <w:t>790-Megawatt</w:t>
      </w:r>
      <w:r>
        <w:rPr>
          <w:color w:val="6E6158"/>
          <w:spacing w:val="33"/>
        </w:rPr>
        <w:t> </w:t>
      </w:r>
      <w:r>
        <w:rPr>
          <w:color w:val="6E6158"/>
        </w:rPr>
        <w:t>Power</w:t>
      </w:r>
      <w:r>
        <w:rPr>
          <w:color w:val="6E6158"/>
          <w:spacing w:val="33"/>
        </w:rPr>
        <w:t> </w:t>
      </w:r>
      <w:r>
        <w:rPr>
          <w:color w:val="6E6158"/>
        </w:rPr>
        <w:t>Plant</w:t>
      </w:r>
      <w:r>
        <w:rPr>
          <w:color w:val="6E6158"/>
          <w:spacing w:val="33"/>
        </w:rPr>
        <w:t> </w:t>
      </w:r>
      <w:r>
        <w:rPr>
          <w:color w:val="6E6158"/>
        </w:rPr>
        <w:t>in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Midwestern</w:t>
      </w:r>
      <w:r>
        <w:rPr>
          <w:color w:val="6E6158"/>
          <w:spacing w:val="33"/>
        </w:rPr>
        <w:t> </w:t>
      </w:r>
      <w:r>
        <w:rPr>
          <w:color w:val="6E6158"/>
        </w:rPr>
        <w:t>United</w:t>
      </w:r>
      <w:r>
        <w:rPr>
          <w:color w:val="6E6158"/>
          <w:spacing w:val="33"/>
        </w:rPr>
        <w:t> </w:t>
      </w:r>
      <w:r>
        <w:rPr>
          <w:color w:val="6E6158"/>
        </w:rPr>
        <w:t>States.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7" w:lineRule="auto" w:before="83"/>
        <w:ind w:right="54"/>
      </w:pPr>
      <w:r>
        <w:rPr>
          <w:color w:val="6E6158"/>
        </w:rPr>
        <w:t>Defended</w:t>
      </w:r>
      <w:r>
        <w:rPr>
          <w:color w:val="6E6158"/>
          <w:spacing w:val="17"/>
        </w:rPr>
        <w:t> </w:t>
      </w:r>
      <w:r>
        <w:rPr>
          <w:color w:val="6E6158"/>
        </w:rPr>
        <w:t>more</w:t>
      </w:r>
      <w:r>
        <w:rPr>
          <w:color w:val="6E6158"/>
          <w:spacing w:val="17"/>
        </w:rPr>
        <w:t> </w:t>
      </w:r>
      <w:r>
        <w:rPr>
          <w:color w:val="6E6158"/>
        </w:rPr>
        <w:t>than</w:t>
      </w:r>
      <w:r>
        <w:rPr>
          <w:color w:val="6E6158"/>
          <w:spacing w:val="17"/>
        </w:rPr>
        <w:t> </w:t>
      </w:r>
      <w:r>
        <w:rPr>
          <w:color w:val="6E6158"/>
        </w:rPr>
        <w:t>30</w:t>
      </w:r>
      <w:r>
        <w:rPr>
          <w:color w:val="6E6158"/>
          <w:spacing w:val="17"/>
        </w:rPr>
        <w:t> </w:t>
      </w:r>
      <w:r>
        <w:rPr>
          <w:color w:val="6E6158"/>
        </w:rPr>
        <w:t>individual</w:t>
      </w:r>
      <w:r>
        <w:rPr>
          <w:color w:val="6E6158"/>
          <w:spacing w:val="17"/>
        </w:rPr>
        <w:t> </w:t>
      </w:r>
      <w:r>
        <w:rPr>
          <w:color w:val="6E6158"/>
        </w:rPr>
        <w:t>personal</w:t>
      </w:r>
      <w:r>
        <w:rPr>
          <w:color w:val="6E6158"/>
          <w:spacing w:val="17"/>
        </w:rPr>
        <w:t> </w:t>
      </w:r>
      <w:r>
        <w:rPr>
          <w:color w:val="6E6158"/>
        </w:rPr>
        <w:t>injury</w:t>
      </w:r>
      <w:r>
        <w:rPr>
          <w:color w:val="6E6158"/>
          <w:spacing w:val="17"/>
        </w:rPr>
        <w:t> </w:t>
      </w:r>
      <w:r>
        <w:rPr>
          <w:color w:val="6E6158"/>
        </w:rPr>
        <w:t>claims</w:t>
      </w:r>
      <w:r>
        <w:rPr>
          <w:color w:val="6E6158"/>
          <w:spacing w:val="17"/>
        </w:rPr>
        <w:t> </w:t>
      </w:r>
      <w:r>
        <w:rPr>
          <w:color w:val="6E6158"/>
        </w:rPr>
        <w:t>alleging</w:t>
      </w:r>
      <w:r>
        <w:rPr>
          <w:color w:val="6E6158"/>
          <w:spacing w:val="17"/>
        </w:rPr>
        <w:t> </w:t>
      </w:r>
      <w:r>
        <w:rPr>
          <w:color w:val="6E6158"/>
        </w:rPr>
        <w:t>purported</w:t>
      </w:r>
      <w:r>
        <w:rPr>
          <w:color w:val="6E6158"/>
          <w:spacing w:val="17"/>
        </w:rPr>
        <w:t> </w:t>
      </w:r>
      <w:r>
        <w:rPr>
          <w:color w:val="6E6158"/>
        </w:rPr>
        <w:t>benzene</w:t>
      </w:r>
      <w:r>
        <w:rPr>
          <w:color w:val="6E6158"/>
          <w:spacing w:val="17"/>
        </w:rPr>
        <w:t> </w:t>
      </w:r>
      <w:r>
        <w:rPr>
          <w:color w:val="6E6158"/>
        </w:rPr>
        <w:t>exposure</w:t>
      </w:r>
      <w:r>
        <w:rPr>
          <w:color w:val="6E6158"/>
          <w:spacing w:val="17"/>
        </w:rPr>
        <w:t> </w:t>
      </w:r>
      <w:r>
        <w:rPr>
          <w:color w:val="6E6158"/>
        </w:rPr>
        <w:t>in a Midwestern community against one of the world’s largest oil companies related to one of the</w:t>
      </w:r>
      <w:r>
        <w:rPr>
          <w:color w:val="6E6158"/>
          <w:spacing w:val="40"/>
        </w:rPr>
        <w:t> </w:t>
      </w:r>
      <w:r>
        <w:rPr>
          <w:color w:val="6E6158"/>
        </w:rPr>
        <w:t>company’s</w:t>
      </w:r>
      <w:r>
        <w:rPr>
          <w:color w:val="6E6158"/>
          <w:spacing w:val="36"/>
        </w:rPr>
        <w:t> </w:t>
      </w:r>
      <w:r>
        <w:rPr>
          <w:color w:val="6E6158"/>
        </w:rPr>
        <w:t>refineries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achieved</w:t>
      </w:r>
      <w:r>
        <w:rPr>
          <w:color w:val="6E6158"/>
          <w:spacing w:val="36"/>
        </w:rPr>
        <w:t> </w:t>
      </w:r>
      <w:r>
        <w:rPr>
          <w:color w:val="6E6158"/>
        </w:rPr>
        <w:t>a</w:t>
      </w:r>
      <w:r>
        <w:rPr>
          <w:color w:val="6E6158"/>
          <w:spacing w:val="36"/>
        </w:rPr>
        <w:t> </w:t>
      </w:r>
      <w:r>
        <w:rPr>
          <w:color w:val="6E6158"/>
        </w:rPr>
        <w:t>successful</w:t>
      </w:r>
      <w:r>
        <w:rPr>
          <w:color w:val="6E6158"/>
          <w:spacing w:val="36"/>
        </w:rPr>
        <w:t> </w:t>
      </w:r>
      <w:r>
        <w:rPr>
          <w:color w:val="6E6158"/>
        </w:rPr>
        <w:t>settlement</w:t>
      </w:r>
      <w:r>
        <w:rPr>
          <w:color w:val="6E6158"/>
          <w:spacing w:val="36"/>
        </w:rPr>
        <w:t> </w:t>
      </w:r>
      <w:r>
        <w:rPr>
          <w:color w:val="6E6158"/>
        </w:rPr>
        <w:t>of</w:t>
      </w:r>
      <w:r>
        <w:rPr>
          <w:color w:val="6E6158"/>
          <w:spacing w:val="36"/>
        </w:rPr>
        <w:t> </w:t>
      </w:r>
      <w:r>
        <w:rPr>
          <w:color w:val="6E6158"/>
        </w:rPr>
        <w:t>all</w:t>
      </w:r>
      <w:r>
        <w:rPr>
          <w:color w:val="6E6158"/>
          <w:spacing w:val="36"/>
        </w:rPr>
        <w:t> </w:t>
      </w:r>
      <w:r>
        <w:rPr>
          <w:color w:val="6E6158"/>
        </w:rPr>
        <w:t>remaining</w:t>
      </w:r>
      <w:r>
        <w:rPr>
          <w:color w:val="6E6158"/>
          <w:spacing w:val="36"/>
        </w:rPr>
        <w:t> </w:t>
      </w:r>
      <w:r>
        <w:rPr>
          <w:color w:val="6E6158"/>
        </w:rPr>
        <w:t>claims.</w:t>
      </w:r>
    </w:p>
    <w:p>
      <w:pPr>
        <w:pStyle w:val="BodyText"/>
        <w:spacing w:line="292" w:lineRule="auto" w:before="118"/>
        <w:ind w:right="323"/>
      </w:pPr>
      <w:r>
        <w:rPr>
          <w:color w:val="6E6158"/>
        </w:rPr>
        <w:t>Participated in negotiating a favorable settlement and business licensing agreement to </w:t>
      </w:r>
      <w:r>
        <w:rPr>
          <w:color w:val="6E6158"/>
        </w:rPr>
        <w:t>resolve</w:t>
      </w:r>
      <w:r>
        <w:rPr>
          <w:color w:val="6E6158"/>
          <w:spacing w:val="40"/>
        </w:rPr>
        <w:t> </w:t>
      </w:r>
      <w:r>
        <w:rPr>
          <w:color w:val="6E6158"/>
        </w:rPr>
        <w:t>trade</w:t>
      </w:r>
      <w:r>
        <w:rPr>
          <w:color w:val="6E6158"/>
          <w:spacing w:val="37"/>
        </w:rPr>
        <w:t> </w:t>
      </w:r>
      <w:r>
        <w:rPr>
          <w:color w:val="6E6158"/>
        </w:rPr>
        <w:t>secret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misappropriation</w:t>
      </w:r>
      <w:r>
        <w:rPr>
          <w:color w:val="6E6158"/>
          <w:spacing w:val="37"/>
        </w:rPr>
        <w:t> </w:t>
      </w:r>
      <w:r>
        <w:rPr>
          <w:color w:val="6E6158"/>
        </w:rPr>
        <w:t>claims</w:t>
      </w:r>
      <w:r>
        <w:rPr>
          <w:color w:val="6E6158"/>
          <w:spacing w:val="37"/>
        </w:rPr>
        <w:t> </w:t>
      </w:r>
      <w:r>
        <w:rPr>
          <w:color w:val="6E6158"/>
        </w:rPr>
        <w:t>against</w:t>
      </w:r>
      <w:r>
        <w:rPr>
          <w:color w:val="6E6158"/>
          <w:spacing w:val="37"/>
        </w:rPr>
        <w:t> </w:t>
      </w:r>
      <w:r>
        <w:rPr>
          <w:color w:val="6E6158"/>
        </w:rPr>
        <w:t>a</w:t>
      </w:r>
      <w:r>
        <w:rPr>
          <w:color w:val="6E6158"/>
          <w:spacing w:val="37"/>
        </w:rPr>
        <w:t> </w:t>
      </w:r>
      <w:r>
        <w:rPr>
          <w:color w:val="6E6158"/>
        </w:rPr>
        <w:t>large</w:t>
      </w:r>
      <w:r>
        <w:rPr>
          <w:color w:val="6E6158"/>
          <w:spacing w:val="37"/>
        </w:rPr>
        <w:t> </w:t>
      </w:r>
      <w:r>
        <w:rPr>
          <w:color w:val="6E6158"/>
        </w:rPr>
        <w:t>industrial</w:t>
      </w:r>
      <w:r>
        <w:rPr>
          <w:color w:val="6E6158"/>
          <w:spacing w:val="37"/>
        </w:rPr>
        <w:t> </w:t>
      </w:r>
      <w:r>
        <w:rPr>
          <w:color w:val="6E6158"/>
        </w:rPr>
        <w:t>manufacturer</w:t>
      </w:r>
      <w:r>
        <w:rPr>
          <w:color w:val="6E6158"/>
          <w:spacing w:val="37"/>
        </w:rPr>
        <w:t> </w:t>
      </w:r>
      <w:r>
        <w:rPr>
          <w:color w:val="6E6158"/>
        </w:rPr>
        <w:t>client.</w:t>
      </w:r>
    </w:p>
    <w:p>
      <w:pPr>
        <w:pStyle w:val="BodyText"/>
        <w:spacing w:before="11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 Banking and Finance Law, 2022-</w:t>
      </w:r>
      <w:r>
        <w:rPr>
          <w:color w:val="6E6158"/>
          <w:spacing w:val="-4"/>
          <w:sz w:val="19"/>
        </w:rPr>
        <w:t>2027</w:t>
      </w:r>
    </w:p>
    <w:p>
      <w:pPr>
        <w:spacing w:line="398" w:lineRule="auto" w:before="173"/>
        <w:ind w:left="99" w:right="3353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 Litigation – Real Estate, 2024-</w:t>
      </w:r>
      <w:r>
        <w:rPr>
          <w:color w:val="6E6158"/>
          <w:sz w:val="19"/>
        </w:rPr>
        <w:t>2027 Top Lawyer – Civil Law Litigation, </w:t>
      </w:r>
      <w:r>
        <w:rPr>
          <w:i/>
          <w:color w:val="6E6158"/>
          <w:sz w:val="20"/>
        </w:rPr>
        <w:t>Phoenix Magazine</w:t>
      </w:r>
      <w:r>
        <w:rPr>
          <w:color w:val="6E6158"/>
          <w:sz w:val="19"/>
        </w:rPr>
        <w:t>, 2026</w:t>
      </w:r>
    </w:p>
    <w:p>
      <w:pPr>
        <w:pStyle w:val="BodyText"/>
        <w:spacing w:line="417" w:lineRule="auto" w:before="2"/>
        <w:ind w:right="3987"/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</w:rPr>
        <w:t>Business</w:t>
      </w:r>
      <w:r>
        <w:rPr>
          <w:color w:val="6E6158"/>
          <w:spacing w:val="-3"/>
        </w:rPr>
        <w:t> </w:t>
      </w:r>
      <w:r>
        <w:rPr>
          <w:color w:val="6E6158"/>
        </w:rPr>
        <w:t>Litigation,</w:t>
      </w:r>
      <w:r>
        <w:rPr>
          <w:color w:val="6E6158"/>
          <w:spacing w:val="-3"/>
        </w:rPr>
        <w:t> </w:t>
      </w:r>
      <w:r>
        <w:rPr>
          <w:color w:val="6E6158"/>
        </w:rPr>
        <w:t>2019-</w:t>
      </w:r>
      <w:r>
        <w:rPr>
          <w:color w:val="6E6158"/>
        </w:rPr>
        <w:t>2026 Most Influential Women in Arizona, AZ Big Media, 2023 Top Lawyers, Phoenix Magazine, 2025</w:t>
      </w:r>
    </w:p>
    <w:p>
      <w:pPr>
        <w:spacing w:line="237" w:lineRule="exact" w:before="0"/>
        <w:ind w:left="99" w:right="0" w:firstLine="0"/>
        <w:jc w:val="left"/>
        <w:rPr>
          <w:i/>
          <w:sz w:val="20"/>
        </w:rPr>
      </w:pPr>
      <w:r>
        <w:rPr>
          <w:i/>
          <w:color w:val="6E6158"/>
          <w:sz w:val="20"/>
        </w:rPr>
        <w:t>Women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Achievers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Arizona</w:t>
      </w:r>
      <w:r>
        <w:rPr>
          <w:color w:val="6E6158"/>
          <w:sz w:val="19"/>
        </w:rPr>
        <w:t>,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Arizona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Capitol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Times,</w:t>
      </w:r>
      <w:r>
        <w:rPr>
          <w:color w:val="6E6158"/>
          <w:spacing w:val="-5"/>
          <w:sz w:val="19"/>
        </w:rPr>
        <w:t> </w:t>
      </w:r>
      <w:r>
        <w:rPr>
          <w:i/>
          <w:color w:val="6E6158"/>
          <w:spacing w:val="-4"/>
          <w:sz w:val="20"/>
        </w:rPr>
        <w:t>2021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7"/>
          <w:sz w:val="20"/>
        </w:rPr>
        <w:t> </w:t>
      </w:r>
      <w:r>
        <w:rPr>
          <w:color w:val="6E6158"/>
          <w:sz w:val="19"/>
        </w:rPr>
        <w:t>Top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25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Women,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State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-5"/>
          <w:sz w:val="19"/>
        </w:rPr>
        <w:t> </w:t>
      </w:r>
      <w:r>
        <w:rPr>
          <w:color w:val="6E6158"/>
          <w:spacing w:val="-2"/>
          <w:sz w:val="19"/>
        </w:rPr>
        <w:t>Arizona</w:t>
      </w:r>
    </w:p>
    <w:p>
      <w:pPr>
        <w:spacing w:before="17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AZ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Top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100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Lawyers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-4"/>
          <w:sz w:val="19"/>
        </w:rPr>
        <w:t> </w:t>
      </w:r>
      <w:r>
        <w:rPr>
          <w:color w:val="6E6158"/>
          <w:spacing w:val="-2"/>
          <w:sz w:val="19"/>
        </w:rPr>
        <w:t>Arizona</w:t>
      </w:r>
    </w:p>
    <w:p>
      <w:pPr>
        <w:spacing w:before="165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4"/>
          <w:sz w:val="20"/>
        </w:rPr>
        <w:t> </w:t>
      </w:r>
      <w:r>
        <w:rPr>
          <w:color w:val="6E6158"/>
          <w:sz w:val="19"/>
        </w:rPr>
        <w:t>Rising</w:t>
      </w:r>
      <w:r>
        <w:rPr>
          <w:color w:val="6E6158"/>
          <w:spacing w:val="-13"/>
          <w:sz w:val="19"/>
        </w:rPr>
        <w:t> </w:t>
      </w:r>
      <w:r>
        <w:rPr>
          <w:color w:val="6E6158"/>
          <w:sz w:val="19"/>
        </w:rPr>
        <w:t>Star,</w:t>
      </w:r>
      <w:r>
        <w:rPr>
          <w:color w:val="6E6158"/>
          <w:spacing w:val="-12"/>
          <w:sz w:val="19"/>
        </w:rPr>
        <w:t> </w:t>
      </w:r>
      <w:r>
        <w:rPr>
          <w:color w:val="6E6158"/>
          <w:sz w:val="19"/>
        </w:rPr>
        <w:t>2014-</w:t>
      </w:r>
      <w:r>
        <w:rPr>
          <w:color w:val="6E6158"/>
          <w:spacing w:val="-4"/>
          <w:sz w:val="19"/>
        </w:rPr>
        <w:t>2016</w:t>
      </w:r>
    </w:p>
    <w:p>
      <w:pPr>
        <w:pStyle w:val="BodyText"/>
        <w:spacing w:before="164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1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3"/>
        </w:rPr>
        <w:t> </w:t>
      </w:r>
      <w:r>
        <w:rPr>
          <w:color w:val="6E6158"/>
        </w:rPr>
        <w:t>Review</w:t>
      </w:r>
      <w:r>
        <w:rPr>
          <w:color w:val="6E6158"/>
          <w:spacing w:val="12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302" w:lineRule="auto"/>
        <w:ind w:right="323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Avoid the Fallout from a ‘Business Divorce’</w:t>
        </w:r>
      </w:hyperlink>
      <w:r>
        <w:rPr>
          <w:color w:val="6E6158"/>
        </w:rPr>
        <w:t>,” Greater Phoenix inBusiness Magazine, June 1, 2026</w:t>
      </w:r>
    </w:p>
    <w:p>
      <w:pPr>
        <w:pStyle w:val="BodyText"/>
        <w:spacing w:before="113"/>
      </w:pPr>
      <w:r>
        <w:rPr>
          <w:color w:val="6E6158"/>
        </w:rPr>
        <w:t>Co-Author,</w:t>
      </w:r>
      <w:r>
        <w:rPr>
          <w:color w:val="6E6158"/>
          <w:spacing w:val="9"/>
        </w:rPr>
        <w:t> </w:t>
      </w:r>
      <w:r>
        <w:rPr>
          <w:color w:val="6E6158"/>
        </w:rPr>
        <w:t>“</w:t>
      </w:r>
      <w:hyperlink r:id="rId12">
        <w:r>
          <w:rPr>
            <w:color w:val="F5821F"/>
          </w:rPr>
          <w:t>How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Avoid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Contentious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Business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Divorc</w:t>
        </w:r>
      </w:hyperlink>
      <w:r>
        <w:rPr>
          <w:color w:val="6E6158"/>
        </w:rPr>
        <w:t>e,”</w:t>
      </w:r>
      <w:r>
        <w:rPr>
          <w:color w:val="6E6158"/>
          <w:spacing w:val="10"/>
        </w:rPr>
        <w:t> </w:t>
      </w:r>
      <w:r>
        <w:rPr>
          <w:color w:val="6E6158"/>
        </w:rPr>
        <w:t>Wealth</w:t>
      </w:r>
      <w:r>
        <w:rPr>
          <w:color w:val="6E6158"/>
          <w:spacing w:val="9"/>
        </w:rPr>
        <w:t> </w:t>
      </w:r>
      <w:r>
        <w:rPr>
          <w:color w:val="6E6158"/>
        </w:rPr>
        <w:t>Management,</w:t>
      </w:r>
      <w:r>
        <w:rPr>
          <w:color w:val="6E6158"/>
          <w:spacing w:val="10"/>
        </w:rPr>
        <w:t> </w:t>
      </w:r>
      <w:r>
        <w:rPr>
          <w:color w:val="6E6158"/>
        </w:rPr>
        <w:t>April</w:t>
      </w:r>
      <w:r>
        <w:rPr>
          <w:color w:val="6E6158"/>
          <w:spacing w:val="10"/>
        </w:rPr>
        <w:t> </w:t>
      </w:r>
      <w:r>
        <w:rPr>
          <w:color w:val="6E6158"/>
        </w:rPr>
        <w:t>29,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302" w:lineRule="auto" w:before="173"/>
        <w:ind w:right="323"/>
      </w:pPr>
      <w:r>
        <w:rPr>
          <w:color w:val="6E6158"/>
        </w:rPr>
        <w:t>Co-Author, “Clickwrap Agreements Are Binding Contracts,” Greater Phoenix InBusiness, </w:t>
      </w:r>
      <w:r>
        <w:rPr>
          <w:color w:val="6E6158"/>
        </w:rPr>
        <w:t>January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13"/>
        <w:ind w:right="273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Clickwrap agreements are binding contracts: key considerations for consumers </w:t>
        </w:r>
        <w:r>
          <w:rPr>
            <w:color w:val="F5821F"/>
          </w:rPr>
          <w:t>and</w:t>
        </w:r>
      </w:hyperlink>
      <w:r>
        <w:rPr>
          <w:color w:val="F5821F"/>
        </w:rPr>
        <w:t> </w:t>
      </w:r>
      <w:hyperlink r:id="rId13">
        <w:r>
          <w:rPr>
            <w:color w:val="F5821F"/>
          </w:rPr>
          <w:t>businesses</w:t>
        </w:r>
      </w:hyperlink>
      <w:r>
        <w:rPr>
          <w:color w:val="6E6158"/>
        </w:rPr>
        <w:t>,” Fennemore Blog, November 26, 2024</w:t>
      </w:r>
    </w:p>
    <w:p>
      <w:pPr>
        <w:pStyle w:val="BodyText"/>
        <w:spacing w:line="302" w:lineRule="auto" w:before="124"/>
        <w:ind w:right="323"/>
      </w:pPr>
      <w:r>
        <w:rPr>
          <w:color w:val="6E6158"/>
        </w:rPr>
        <w:t>Co-Presenter, “AI Education &amp; Workforce Seminar,” Chandler Chamber of Commerce, September 2024</w:t>
      </w:r>
    </w:p>
    <w:p>
      <w:pPr>
        <w:pStyle w:val="BodyText"/>
        <w:spacing w:line="292" w:lineRule="auto" w:before="112"/>
        <w:ind w:right="323"/>
      </w:pPr>
      <w:r>
        <w:rPr>
          <w:color w:val="6E6158"/>
        </w:rPr>
        <w:t>Author, “What CRE Can Learn from the Shockwaves Sent through RRE,” Greater Phoenix InBusiness, July 2024</w:t>
      </w:r>
    </w:p>
    <w:p>
      <w:pPr>
        <w:pStyle w:val="BodyText"/>
        <w:spacing w:line="302" w:lineRule="auto" w:before="124"/>
        <w:ind w:right="273"/>
      </w:pPr>
      <w:r>
        <w:rPr>
          <w:color w:val="6E6158"/>
        </w:rPr>
        <w:t>Author, “A Wake-Up Call for More Transparency in Commercial Real Estate Transactions — and 6 Takeaways,” Phoenix Business Journal, April 2024</w:t>
      </w:r>
    </w:p>
    <w:p>
      <w:pPr>
        <w:pStyle w:val="BodyText"/>
        <w:spacing w:before="112"/>
      </w:pPr>
      <w:r>
        <w:rPr>
          <w:color w:val="6E6158"/>
        </w:rPr>
        <w:t>Featured,</w:t>
      </w:r>
      <w:r>
        <w:rPr>
          <w:color w:val="6E6158"/>
          <w:spacing w:val="11"/>
        </w:rPr>
        <w:t> </w:t>
      </w:r>
      <w:r>
        <w:rPr>
          <w:color w:val="6E6158"/>
        </w:rPr>
        <w:t>“Most</w:t>
      </w:r>
      <w:r>
        <w:rPr>
          <w:color w:val="6E6158"/>
          <w:spacing w:val="11"/>
        </w:rPr>
        <w:t> </w:t>
      </w:r>
      <w:r>
        <w:rPr>
          <w:color w:val="6E6158"/>
        </w:rPr>
        <w:t>Influential</w:t>
      </w:r>
      <w:r>
        <w:rPr>
          <w:color w:val="6E6158"/>
          <w:spacing w:val="11"/>
        </w:rPr>
        <w:t> </w:t>
      </w:r>
      <w:r>
        <w:rPr>
          <w:color w:val="6E6158"/>
        </w:rPr>
        <w:t>Women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Arizona,”</w:t>
      </w:r>
      <w:r>
        <w:rPr>
          <w:color w:val="6E6158"/>
          <w:spacing w:val="11"/>
        </w:rPr>
        <w:t> </w:t>
      </w:r>
      <w:r>
        <w:rPr>
          <w:color w:val="6E6158"/>
        </w:rPr>
        <w:t>AZ</w:t>
      </w:r>
      <w:r>
        <w:rPr>
          <w:color w:val="6E6158"/>
          <w:spacing w:val="11"/>
        </w:rPr>
        <w:t> </w:t>
      </w:r>
      <w:r>
        <w:rPr>
          <w:color w:val="6E6158"/>
        </w:rPr>
        <w:t>Big</w:t>
      </w:r>
      <w:r>
        <w:rPr>
          <w:color w:val="6E6158"/>
          <w:spacing w:val="11"/>
        </w:rPr>
        <w:t> </w:t>
      </w:r>
      <w:r>
        <w:rPr>
          <w:color w:val="6E6158"/>
        </w:rPr>
        <w:t>Media,</w:t>
      </w:r>
      <w:r>
        <w:rPr>
          <w:color w:val="6E6158"/>
          <w:spacing w:val="11"/>
        </w:rPr>
        <w:t> </w:t>
      </w:r>
      <w:r>
        <w:rPr>
          <w:color w:val="6E6158"/>
        </w:rPr>
        <w:t>July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before="174"/>
      </w:pPr>
      <w:r>
        <w:rPr>
          <w:color w:val="6E6158"/>
        </w:rPr>
        <w:t>Featured,</w:t>
      </w:r>
      <w:r>
        <w:rPr>
          <w:color w:val="6E6158"/>
          <w:spacing w:val="10"/>
        </w:rPr>
        <w:t> </w:t>
      </w:r>
      <w:r>
        <w:rPr>
          <w:color w:val="6E6158"/>
        </w:rPr>
        <w:t>“Meet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2022</w:t>
      </w:r>
      <w:r>
        <w:rPr>
          <w:color w:val="6E6158"/>
          <w:spacing w:val="10"/>
        </w:rPr>
        <w:t> </w:t>
      </w:r>
      <w:r>
        <w:rPr>
          <w:color w:val="6E6158"/>
        </w:rPr>
        <w:t>Women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Chandler,”</w:t>
      </w:r>
      <w:r>
        <w:rPr>
          <w:color w:val="6E6158"/>
          <w:spacing w:val="10"/>
        </w:rPr>
        <w:t> </w:t>
      </w:r>
      <w:r>
        <w:rPr>
          <w:color w:val="6E6158"/>
        </w:rPr>
        <w:t>Chandler</w:t>
      </w:r>
      <w:r>
        <w:rPr>
          <w:color w:val="6E6158"/>
          <w:spacing w:val="10"/>
        </w:rPr>
        <w:t> </w:t>
      </w:r>
      <w:r>
        <w:rPr>
          <w:color w:val="6E6158"/>
        </w:rPr>
        <w:t>City</w:t>
      </w:r>
      <w:r>
        <w:rPr>
          <w:color w:val="6E6158"/>
          <w:spacing w:val="10"/>
        </w:rPr>
        <w:t> </w:t>
      </w:r>
      <w:r>
        <w:rPr>
          <w:color w:val="6E6158"/>
        </w:rPr>
        <w:t>Lifestyle,</w:t>
      </w:r>
      <w:r>
        <w:rPr>
          <w:color w:val="6E6158"/>
          <w:spacing w:val="10"/>
        </w:rPr>
        <w:t> </w:t>
      </w:r>
      <w:r>
        <w:rPr>
          <w:color w:val="6E6158"/>
        </w:rPr>
        <w:t>May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302" w:lineRule="auto" w:before="174"/>
        <w:ind w:right="323"/>
      </w:pPr>
      <w:r>
        <w:rPr>
          <w:color w:val="6E6158"/>
        </w:rPr>
        <w:t>Interview, “Community Highlights: Meet Andrea Marconi of Fennemore Craig,” </w:t>
      </w:r>
      <w:r>
        <w:rPr>
          <w:color w:val="6E6158"/>
        </w:rPr>
        <w:t>VoyagePhoenix, March 24, 2022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550"/>
      </w:pPr>
      <w:r>
        <w:rPr>
          <w:color w:val="6E6158"/>
        </w:rPr>
        <w:t>Author, “Beyond Boilerplate: Preparing the Right Dispute Resolution Clause for </w:t>
      </w:r>
      <w:r>
        <w:rPr>
          <w:color w:val="6E6158"/>
        </w:rPr>
        <w:t>Business Contracts” AZ Attorney Magazine, November 2021</w:t>
      </w:r>
    </w:p>
    <w:p>
      <w:pPr>
        <w:pStyle w:val="BodyText"/>
        <w:spacing w:line="292" w:lineRule="auto" w:before="132"/>
      </w:pPr>
      <w:r>
        <w:rPr>
          <w:color w:val="6E6158"/>
        </w:rPr>
        <w:t>Co-Presenter, “Protecting Your Business and Brand,” KNOW Women National Summit, October 23, </w:t>
      </w:r>
      <w:r>
        <w:rPr>
          <w:color w:val="6E6158"/>
          <w:spacing w:val="-4"/>
        </w:rPr>
        <w:t>2021</w:t>
      </w:r>
    </w:p>
    <w:p>
      <w:pPr>
        <w:pStyle w:val="BodyText"/>
        <w:spacing w:line="292" w:lineRule="auto" w:before="123"/>
        <w:ind w:right="550"/>
      </w:pPr>
      <w:hyperlink r:id="rId14">
        <w:r>
          <w:rPr>
            <w:color w:val="FF8100"/>
          </w:rPr>
          <w:t>Co-author, “OSHA Issues Emergency Temporary Standard for Health Care </w:t>
        </w:r>
        <w:r>
          <w:rPr>
            <w:color w:val="FF8100"/>
          </w:rPr>
          <w:t>Employers,”</w:t>
        </w:r>
      </w:hyperlink>
      <w:r>
        <w:rPr>
          <w:color w:val="FF8100"/>
        </w:rPr>
        <w:t> </w:t>
      </w:r>
      <w:hyperlink r:id="rId14">
        <w:r>
          <w:rPr>
            <w:color w:val="FF8100"/>
          </w:rPr>
          <w:t>Fennemore Client Alert, July 8, 2021</w:t>
        </w:r>
      </w:hyperlink>
    </w:p>
    <w:p>
      <w:pPr>
        <w:pStyle w:val="BodyText"/>
        <w:spacing w:line="292" w:lineRule="auto" w:before="131"/>
        <w:ind w:right="323"/>
      </w:pPr>
      <w:hyperlink r:id="rId15">
        <w:r>
          <w:rPr>
            <w:color w:val="FF8100"/>
          </w:rPr>
          <w:t>Author, “What to Know: Updated OSHA COVID-19 Guidance for Workplaces,” Fennemore </w:t>
        </w:r>
        <w:r>
          <w:rPr>
            <w:color w:val="FF8100"/>
          </w:rPr>
          <w:t>Client</w:t>
        </w:r>
      </w:hyperlink>
      <w:r>
        <w:rPr>
          <w:color w:val="FF8100"/>
        </w:rPr>
        <w:t> </w:t>
      </w:r>
      <w:hyperlink r:id="rId15">
        <w:r>
          <w:rPr>
            <w:color w:val="FF8100"/>
          </w:rPr>
          <w:t>Alert, June 24, 2021</w:t>
        </w:r>
      </w:hyperlink>
    </w:p>
    <w:p>
      <w:pPr>
        <w:pStyle w:val="BodyText"/>
        <w:spacing w:before="114"/>
      </w:pPr>
      <w:hyperlink r:id="rId16">
        <w:r>
          <w:rPr>
            <w:color w:val="FF8100"/>
          </w:rPr>
          <w:t>Author,</w:t>
        </w:r>
        <w:r>
          <w:rPr>
            <w:color w:val="FF8100"/>
            <w:spacing w:val="8"/>
          </w:rPr>
          <w:t> </w:t>
        </w:r>
        <w:r>
          <w:rPr>
            <w:color w:val="FF8100"/>
          </w:rPr>
          <w:t>“Contract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Dispute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Resolution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Provisions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Are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Not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One-Size-Fits-All,”</w:t>
        </w:r>
      </w:hyperlink>
      <w:r>
        <w:rPr>
          <w:color w:val="FF8100"/>
          <w:spacing w:val="9"/>
        </w:rPr>
        <w:t> </w:t>
      </w:r>
      <w:hyperlink r:id="rId16">
        <w:r>
          <w:rPr>
            <w:i/>
            <w:color w:val="FF8100"/>
            <w:sz w:val="20"/>
          </w:rPr>
          <w:t>InBusiness</w:t>
        </w:r>
      </w:hyperlink>
      <w:hyperlink r:id="rId16">
        <w:r>
          <w:rPr>
            <w:color w:val="FF8100"/>
          </w:rPr>
          <w:t>,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May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1,</w:t>
        </w:r>
        <w:r>
          <w:rPr>
            <w:color w:val="FF8100"/>
            <w:spacing w:val="9"/>
          </w:rPr>
          <w:t> </w:t>
        </w:r>
        <w:r>
          <w:rPr>
            <w:color w:val="FF8100"/>
            <w:spacing w:val="-4"/>
          </w:rPr>
          <w:t>2021</w:t>
        </w:r>
      </w:hyperlink>
    </w:p>
    <w:p>
      <w:pPr>
        <w:spacing w:line="297" w:lineRule="auto" w:before="161"/>
        <w:ind w:left="99" w:right="273" w:firstLine="0"/>
        <w:jc w:val="left"/>
        <w:rPr>
          <w:sz w:val="19"/>
        </w:rPr>
      </w:pPr>
      <w:hyperlink r:id="rId17">
        <w:r>
          <w:rPr>
            <w:color w:val="FF8100"/>
            <w:sz w:val="19"/>
          </w:rPr>
          <w:t>Author, “COVID liability law protects a wide range of entities,”</w:t>
        </w:r>
      </w:hyperlink>
      <w:r>
        <w:rPr>
          <w:color w:val="FF8100"/>
          <w:sz w:val="19"/>
        </w:rPr>
        <w:t> </w:t>
      </w:r>
      <w:hyperlink r:id="rId17">
        <w:r>
          <w:rPr>
            <w:i/>
            <w:color w:val="FF8100"/>
            <w:sz w:val="20"/>
          </w:rPr>
          <w:t>Ahwatukee Foothills News</w:t>
        </w:r>
      </w:hyperlink>
      <w:hyperlink r:id="rId17">
        <w:r>
          <w:rPr>
            <w:color w:val="FF8100"/>
            <w:sz w:val="19"/>
          </w:rPr>
          <w:t>, April</w:t>
        </w:r>
      </w:hyperlink>
      <w:r>
        <w:rPr>
          <w:color w:val="FF8100"/>
          <w:sz w:val="19"/>
        </w:rPr>
        <w:t> </w:t>
      </w:r>
      <w:hyperlink r:id="rId17">
        <w:r>
          <w:rPr>
            <w:color w:val="FF8100"/>
            <w:sz w:val="19"/>
          </w:rPr>
          <w:t>26, 2021</w:t>
        </w:r>
      </w:hyperlink>
    </w:p>
    <w:p>
      <w:pPr>
        <w:pStyle w:val="BodyText"/>
        <w:spacing w:line="292" w:lineRule="auto" w:before="117"/>
        <w:ind w:right="323"/>
      </w:pPr>
      <w:hyperlink r:id="rId18">
        <w:r>
          <w:rPr>
            <w:color w:val="FF8100"/>
          </w:rPr>
          <w:t>Co-author, “Arizona Enacts COVID-19 Liability Protections for Health Professionals,” </w:t>
        </w:r>
        <w:r>
          <w:rPr>
            <w:color w:val="FF8100"/>
          </w:rPr>
          <w:t>Fennemore</w:t>
        </w:r>
      </w:hyperlink>
      <w:r>
        <w:rPr>
          <w:color w:val="FF8100"/>
        </w:rPr>
        <w:t> </w:t>
      </w:r>
      <w:hyperlink r:id="rId18">
        <w:r>
          <w:rPr>
            <w:color w:val="FF8100"/>
          </w:rPr>
          <w:t>Client Alert, April 22, 2021</w:t>
        </w:r>
      </w:hyperlink>
    </w:p>
    <w:p>
      <w:pPr>
        <w:pStyle w:val="BodyText"/>
        <w:spacing w:line="302" w:lineRule="auto" w:before="124"/>
        <w:ind w:right="323"/>
      </w:pPr>
      <w:r>
        <w:rPr>
          <w:color w:val="8B4512"/>
        </w:rPr>
        <w:t>Quoted, “What is covered by Gov. Ducey’s executive order on vaccine passports?” News 4</w:t>
      </w:r>
      <w:r>
        <w:rPr>
          <w:color w:val="8B4512"/>
          <w:spacing w:val="40"/>
        </w:rPr>
        <w:t> </w:t>
      </w:r>
      <w:r>
        <w:rPr>
          <w:color w:val="8B4512"/>
        </w:rPr>
        <w:t>Tucson, April 22, 2021</w:t>
      </w:r>
    </w:p>
    <w:p>
      <w:pPr>
        <w:pStyle w:val="BodyText"/>
        <w:spacing w:line="292" w:lineRule="auto" w:before="112"/>
        <w:ind w:right="323"/>
      </w:pPr>
      <w:hyperlink r:id="rId19">
        <w:r>
          <w:rPr>
            <w:color w:val="FF8100"/>
          </w:rPr>
          <w:t>Author, “Governor Ducey Bans “Vaccine Passports” for State and Local </w:t>
        </w:r>
        <w:r>
          <w:rPr>
            <w:color w:val="FF8100"/>
          </w:rPr>
          <w:t>Governments,”</w:t>
        </w:r>
      </w:hyperlink>
      <w:r>
        <w:rPr>
          <w:color w:val="FF8100"/>
        </w:rPr>
        <w:t> </w:t>
      </w:r>
      <w:hyperlink r:id="rId19">
        <w:r>
          <w:rPr>
            <w:color w:val="FF8100"/>
          </w:rPr>
          <w:t>Fennemore Client Alert, April 19, 2021</w:t>
        </w:r>
      </w:hyperlink>
    </w:p>
    <w:p>
      <w:pPr>
        <w:pStyle w:val="BodyText"/>
        <w:spacing w:line="408" w:lineRule="auto" w:before="132"/>
        <w:ind w:right="323"/>
      </w:pPr>
      <w:hyperlink r:id="rId20">
        <w:r>
          <w:rPr>
            <w:color w:val="FF8100"/>
          </w:rPr>
          <w:t>Author, “Arizona Enacts COVID-19 Liability Shield Law,” Fennemore Client Alert, April 14, </w:t>
        </w:r>
        <w:r>
          <w:rPr>
            <w:color w:val="FF8100"/>
          </w:rPr>
          <w:t>2021</w:t>
        </w:r>
      </w:hyperlink>
      <w:r>
        <w:rPr>
          <w:color w:val="FF8100"/>
        </w:rPr>
        <w:t> </w:t>
      </w:r>
      <w:r>
        <w:rPr>
          <w:color w:val="6E6158"/>
        </w:rPr>
        <w:t>Author, “Could Congress overturn Arizona’s right-to-work law?” </w:t>
      </w:r>
      <w:r>
        <w:rPr>
          <w:i/>
          <w:color w:val="6E6158"/>
          <w:sz w:val="20"/>
        </w:rPr>
        <w:t>AZ Big Media, </w:t>
      </w:r>
      <w:r>
        <w:rPr>
          <w:color w:val="6E6158"/>
        </w:rPr>
        <w:t>March 8, 2021</w:t>
      </w:r>
    </w:p>
    <w:p>
      <w:pPr>
        <w:pStyle w:val="BodyText"/>
        <w:spacing w:before="1"/>
      </w:pPr>
      <w:r>
        <w:rPr>
          <w:color w:val="6E6158"/>
        </w:rPr>
        <w:t>Interview,</w:t>
      </w:r>
      <w:r>
        <w:rPr>
          <w:color w:val="6E6158"/>
          <w:spacing w:val="11"/>
        </w:rPr>
        <w:t> </w:t>
      </w:r>
      <w:r>
        <w:rPr>
          <w:color w:val="6E6158"/>
        </w:rPr>
        <w:t>“Andrea</w:t>
      </w:r>
      <w:r>
        <w:rPr>
          <w:color w:val="6E6158"/>
          <w:spacing w:val="12"/>
        </w:rPr>
        <w:t> </w:t>
      </w:r>
      <w:r>
        <w:rPr>
          <w:color w:val="6E6158"/>
        </w:rPr>
        <w:t>Marconi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Fennemore:</w:t>
      </w:r>
      <w:r>
        <w:rPr>
          <w:color w:val="6E6158"/>
          <w:spacing w:val="12"/>
        </w:rPr>
        <w:t> </w:t>
      </w:r>
      <w:r>
        <w:rPr>
          <w:color w:val="6E6158"/>
        </w:rPr>
        <w:t>‘Focus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2"/>
        </w:rPr>
        <w:t> </w:t>
      </w:r>
      <w:r>
        <w:rPr>
          <w:color w:val="6E6158"/>
        </w:rPr>
        <w:t>Yourself’,”</w:t>
      </w:r>
      <w:r>
        <w:rPr>
          <w:color w:val="6E6158"/>
          <w:spacing w:val="12"/>
        </w:rPr>
        <w:t> </w:t>
      </w:r>
      <w:r>
        <w:rPr>
          <w:color w:val="6E6158"/>
        </w:rPr>
        <w:t>Thrive</w:t>
      </w:r>
      <w:r>
        <w:rPr>
          <w:color w:val="6E6158"/>
          <w:spacing w:val="12"/>
        </w:rPr>
        <w:t> </w:t>
      </w:r>
      <w:r>
        <w:rPr>
          <w:color w:val="6E6158"/>
        </w:rPr>
        <w:t>Global,</w:t>
      </w:r>
      <w:r>
        <w:rPr>
          <w:color w:val="6E6158"/>
          <w:spacing w:val="12"/>
        </w:rPr>
        <w:t> </w:t>
      </w:r>
      <w:r>
        <w:rPr>
          <w:color w:val="6E6158"/>
        </w:rPr>
        <w:t>February</w:t>
      </w:r>
      <w:r>
        <w:rPr>
          <w:color w:val="6E6158"/>
          <w:spacing w:val="11"/>
        </w:rPr>
        <w:t> </w:t>
      </w:r>
      <w:r>
        <w:rPr>
          <w:color w:val="6E6158"/>
        </w:rPr>
        <w:t>3,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90" w:lineRule="auto" w:before="174"/>
        <w:ind w:right="172"/>
      </w:pPr>
      <w:r>
        <w:rPr>
          <w:color w:val="6E6158"/>
        </w:rPr>
        <w:t>Interview,</w:t>
      </w:r>
      <w:r>
        <w:rPr>
          <w:color w:val="6E6158"/>
          <w:spacing w:val="14"/>
        </w:rPr>
        <w:t> </w:t>
      </w:r>
      <w:r>
        <w:rPr>
          <w:color w:val="6E6158"/>
        </w:rPr>
        <w:t>“Attorney</w:t>
      </w:r>
      <w:r>
        <w:rPr>
          <w:color w:val="6E6158"/>
          <w:spacing w:val="14"/>
        </w:rPr>
        <w:t> </w:t>
      </w:r>
      <w:r>
        <w:rPr>
          <w:color w:val="6E6158"/>
        </w:rPr>
        <w:t>Andrea</w:t>
      </w:r>
      <w:r>
        <w:rPr>
          <w:color w:val="6E6158"/>
          <w:spacing w:val="14"/>
        </w:rPr>
        <w:t> </w:t>
      </w:r>
      <w:r>
        <w:rPr>
          <w:color w:val="6E6158"/>
        </w:rPr>
        <w:t>Marconi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Fennemore:</w:t>
      </w:r>
      <w:r>
        <w:rPr>
          <w:color w:val="6E6158"/>
          <w:spacing w:val="14"/>
        </w:rPr>
        <w:t> </w:t>
      </w:r>
      <w:r>
        <w:rPr>
          <w:color w:val="6E6158"/>
        </w:rPr>
        <w:t>5</w:t>
      </w:r>
      <w:r>
        <w:rPr>
          <w:color w:val="6E6158"/>
          <w:spacing w:val="14"/>
        </w:rPr>
        <w:t> </w:t>
      </w:r>
      <w:r>
        <w:rPr>
          <w:color w:val="6E6158"/>
        </w:rPr>
        <w:t>Things</w:t>
      </w:r>
      <w:r>
        <w:rPr>
          <w:color w:val="6E6158"/>
          <w:spacing w:val="14"/>
        </w:rPr>
        <w:t> </w:t>
      </w:r>
      <w:r>
        <w:rPr>
          <w:color w:val="6E6158"/>
        </w:rPr>
        <w:t>I</w:t>
      </w:r>
      <w:r>
        <w:rPr>
          <w:color w:val="6E6158"/>
          <w:spacing w:val="14"/>
        </w:rPr>
        <w:t> </w:t>
      </w:r>
      <w:r>
        <w:rPr>
          <w:color w:val="6E6158"/>
        </w:rPr>
        <w:t>Wish</w:t>
      </w:r>
      <w:r>
        <w:rPr>
          <w:color w:val="6E6158"/>
          <w:spacing w:val="14"/>
        </w:rPr>
        <w:t> </w:t>
      </w:r>
      <w:r>
        <w:rPr>
          <w:color w:val="6E6158"/>
        </w:rPr>
        <w:t>Someone</w:t>
      </w:r>
      <w:r>
        <w:rPr>
          <w:color w:val="6E6158"/>
          <w:spacing w:val="14"/>
        </w:rPr>
        <w:t> </w:t>
      </w:r>
      <w:r>
        <w:rPr>
          <w:color w:val="6E6158"/>
        </w:rPr>
        <w:t>Had</w:t>
      </w:r>
      <w:r>
        <w:rPr>
          <w:color w:val="6E6158"/>
          <w:spacing w:val="14"/>
        </w:rPr>
        <w:t> </w:t>
      </w:r>
      <w:r>
        <w:rPr>
          <w:color w:val="6E6158"/>
        </w:rPr>
        <w:t>Told</w:t>
      </w:r>
      <w:r>
        <w:rPr>
          <w:color w:val="6E6158"/>
          <w:spacing w:val="14"/>
        </w:rPr>
        <w:t> </w:t>
      </w:r>
      <w:r>
        <w:rPr>
          <w:color w:val="6E6158"/>
        </w:rPr>
        <w:t>Me</w:t>
      </w:r>
      <w:r>
        <w:rPr>
          <w:color w:val="6E6158"/>
          <w:spacing w:val="14"/>
        </w:rPr>
        <w:t> </w:t>
      </w:r>
      <w:r>
        <w:rPr>
          <w:color w:val="6E6158"/>
        </w:rPr>
        <w:t>When I First Became an Attorney,” </w:t>
      </w:r>
      <w:r>
        <w:rPr>
          <w:i/>
          <w:color w:val="6E6158"/>
          <w:sz w:val="20"/>
        </w:rPr>
        <w:t>Authority Magazine, </w:t>
      </w:r>
      <w:r>
        <w:rPr>
          <w:color w:val="6E6158"/>
        </w:rPr>
        <w:t>January 13, 2021</w:t>
      </w:r>
    </w:p>
    <w:p>
      <w:pPr>
        <w:pStyle w:val="BodyText"/>
        <w:spacing w:line="292" w:lineRule="auto" w:before="121"/>
        <w:ind w:right="323"/>
      </w:pPr>
      <w:r>
        <w:rPr>
          <w:color w:val="6E6158"/>
        </w:rPr>
        <w:t>Presenter, “Top 5 Legal Tips to Protect Your Business and Brand,” KNOW Women Master Class, August 25, 2020</w:t>
      </w:r>
    </w:p>
    <w:p>
      <w:pPr>
        <w:pStyle w:val="BodyText"/>
        <w:spacing w:line="297" w:lineRule="auto" w:before="123"/>
        <w:ind w:right="323"/>
      </w:pPr>
      <w:hyperlink r:id="rId21">
        <w:r>
          <w:rPr>
            <w:color w:val="FF8100"/>
          </w:rPr>
          <w:t>Author, “What Regulatory Actions Can Tell Payment Processors and ISOS About the Anticipated</w:t>
        </w:r>
      </w:hyperlink>
      <w:r>
        <w:rPr>
          <w:color w:val="FF8100"/>
        </w:rPr>
        <w:t> </w:t>
      </w:r>
      <w:hyperlink r:id="rId21">
        <w:r>
          <w:rPr>
            <w:color w:val="FF8100"/>
          </w:rPr>
          <w:t>Wave of COVID-19 Related Enforcement and How to Protect Your Business,” Fennemore Client</w:t>
        </w:r>
      </w:hyperlink>
      <w:r>
        <w:rPr>
          <w:color w:val="FF8100"/>
        </w:rPr>
        <w:t> </w:t>
      </w:r>
      <w:hyperlink r:id="rId21">
        <w:r>
          <w:rPr>
            <w:color w:val="FF8100"/>
          </w:rPr>
          <w:t>Alert, June 23, 2020</w:t>
        </w:r>
      </w:hyperlink>
    </w:p>
    <w:p>
      <w:pPr>
        <w:pStyle w:val="BodyText"/>
        <w:spacing w:before="118"/>
      </w:pPr>
      <w:hyperlink r:id="rId22">
        <w:r>
          <w:rPr>
            <w:color w:val="FF8100"/>
          </w:rPr>
          <w:t>Author,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“All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Good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Things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Must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Come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to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an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End,”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April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28,</w:t>
        </w:r>
        <w:r>
          <w:rPr>
            <w:color w:val="FF8100"/>
            <w:spacing w:val="9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line="302" w:lineRule="auto" w:before="174"/>
        <w:ind w:right="273"/>
      </w:pPr>
      <w:hyperlink r:id="rId23">
        <w:r>
          <w:rPr>
            <w:color w:val="FF8100"/>
          </w:rPr>
          <w:t>Co-author, “COVID-19 and its Impact on the Deadline to Bring Legal Claims,” Fennemore Client</w:t>
        </w:r>
      </w:hyperlink>
      <w:r>
        <w:rPr>
          <w:color w:val="FF8100"/>
          <w:spacing w:val="40"/>
        </w:rPr>
        <w:t> </w:t>
      </w:r>
      <w:hyperlink r:id="rId23">
        <w:r>
          <w:rPr>
            <w:color w:val="FF8100"/>
          </w:rPr>
          <w:t>Alert, April 28, 2020</w:t>
        </w:r>
      </w:hyperlink>
    </w:p>
    <w:p>
      <w:pPr>
        <w:spacing w:line="288" w:lineRule="auto" w:before="103"/>
        <w:ind w:left="99" w:right="323" w:firstLine="0"/>
        <w:jc w:val="left"/>
        <w:rPr>
          <w:sz w:val="19"/>
        </w:rPr>
      </w:pPr>
      <w:r>
        <w:rPr>
          <w:color w:val="6E6158"/>
          <w:sz w:val="19"/>
        </w:rPr>
        <w:t>Interview, “Women You Must Know and Do Business With,” </w:t>
      </w:r>
      <w:r>
        <w:rPr>
          <w:i/>
          <w:color w:val="6E6158"/>
          <w:sz w:val="20"/>
        </w:rPr>
        <w:t>The KNOW Book + Tribe</w:t>
      </w:r>
      <w:r>
        <w:rPr>
          <w:color w:val="6E6158"/>
          <w:sz w:val="19"/>
        </w:rPr>
        <w:t>, January 27, </w:t>
      </w:r>
      <w:r>
        <w:rPr>
          <w:color w:val="6E6158"/>
          <w:spacing w:val="-4"/>
          <w:sz w:val="19"/>
        </w:rPr>
        <w:t>2020</w:t>
      </w:r>
    </w:p>
    <w:p>
      <w:pPr>
        <w:pStyle w:val="BodyText"/>
        <w:spacing w:line="292" w:lineRule="auto" w:before="136"/>
        <w:ind w:right="323"/>
      </w:pPr>
      <w:r>
        <w:rPr>
          <w:color w:val="6E6158"/>
        </w:rPr>
        <w:t>Author, “Spec’s Family Partners, Limited v. First Data Merchant Services,” Fennemore Client Alert,</w:t>
      </w:r>
      <w:r>
        <w:rPr>
          <w:color w:val="6E6158"/>
          <w:spacing w:val="40"/>
        </w:rPr>
        <w:t> </w:t>
      </w:r>
      <w:r>
        <w:rPr>
          <w:color w:val="6E6158"/>
        </w:rPr>
        <w:t>June 21, 2019</w:t>
      </w:r>
    </w:p>
    <w:p>
      <w:pPr>
        <w:pStyle w:val="BodyText"/>
        <w:spacing w:line="292" w:lineRule="auto" w:before="123"/>
        <w:ind w:right="323"/>
      </w:pPr>
      <w:hyperlink r:id="rId24">
        <w:r>
          <w:rPr>
            <w:color w:val="FF8100"/>
          </w:rPr>
          <w:t>Co-author, “Vazquez v. Jan-Pro Franchising International, Inc.,” Fennemore Client Alert, May 28,</w:t>
        </w:r>
      </w:hyperlink>
      <w:r>
        <w:rPr>
          <w:color w:val="FF8100"/>
        </w:rPr>
        <w:t> </w:t>
      </w:r>
      <w:hyperlink r:id="rId24">
        <w:r>
          <w:rPr>
            <w:color w:val="FF8100"/>
            <w:spacing w:val="-4"/>
          </w:rPr>
          <w:t>2019</w:t>
        </w:r>
      </w:hyperlink>
    </w:p>
    <w:p>
      <w:pPr>
        <w:pStyle w:val="BodyText"/>
        <w:spacing w:line="292" w:lineRule="auto" w:before="131"/>
        <w:ind w:right="323"/>
      </w:pPr>
      <w:r>
        <w:rPr>
          <w:color w:val="6E6158"/>
        </w:rPr>
        <w:t>Author, “Changes to the Administration of Commercial Litigation in Arizona: A Brief Overview of</w:t>
      </w:r>
      <w:r>
        <w:rPr>
          <w:color w:val="6E6158"/>
          <w:spacing w:val="40"/>
        </w:rPr>
        <w:t> </w:t>
      </w:r>
      <w:r>
        <w:rPr>
          <w:color w:val="6E6158"/>
        </w:rPr>
        <w:t>the Commercial Court Pilot Program”</w:t>
      </w:r>
    </w:p>
    <w:p>
      <w:pPr>
        <w:pStyle w:val="BodyText"/>
        <w:spacing w:before="124"/>
      </w:pPr>
      <w:r>
        <w:rPr>
          <w:color w:val="6E6158"/>
        </w:rPr>
        <w:t>Author,</w:t>
      </w:r>
      <w:r>
        <w:rPr>
          <w:color w:val="6E6158"/>
          <w:spacing w:val="10"/>
        </w:rPr>
        <w:t> </w:t>
      </w:r>
      <w:r>
        <w:rPr>
          <w:color w:val="6E6158"/>
        </w:rPr>
        <w:t>“Financial</w:t>
      </w:r>
      <w:r>
        <w:rPr>
          <w:color w:val="6E6158"/>
          <w:spacing w:val="11"/>
        </w:rPr>
        <w:t> </w:t>
      </w:r>
      <w:r>
        <w:rPr>
          <w:color w:val="6E6158"/>
        </w:rPr>
        <w:t>Institutions</w:t>
      </w:r>
      <w:r>
        <w:rPr>
          <w:color w:val="6E6158"/>
          <w:spacing w:val="10"/>
        </w:rPr>
        <w:t> </w:t>
      </w:r>
      <w:r>
        <w:rPr>
          <w:color w:val="6E6158"/>
        </w:rPr>
        <w:t>&amp;</w:t>
      </w:r>
      <w:r>
        <w:rPr>
          <w:color w:val="6E6158"/>
          <w:spacing w:val="11"/>
        </w:rPr>
        <w:t> </w:t>
      </w:r>
      <w:r>
        <w:rPr>
          <w:color w:val="6E6158"/>
        </w:rPr>
        <w:t>Social</w:t>
      </w:r>
      <w:r>
        <w:rPr>
          <w:color w:val="6E6158"/>
          <w:spacing w:val="10"/>
        </w:rPr>
        <w:t> </w:t>
      </w:r>
      <w:r>
        <w:rPr>
          <w:color w:val="6E6158"/>
        </w:rPr>
        <w:t>Media:</w:t>
      </w:r>
      <w:r>
        <w:rPr>
          <w:color w:val="6E6158"/>
          <w:spacing w:val="11"/>
        </w:rPr>
        <w:t> </w:t>
      </w:r>
      <w:r>
        <w:rPr>
          <w:color w:val="6E6158"/>
        </w:rPr>
        <w:t>Final</w:t>
      </w:r>
      <w:r>
        <w:rPr>
          <w:color w:val="6E6158"/>
          <w:spacing w:val="10"/>
        </w:rPr>
        <w:t> </w:t>
      </w:r>
      <w:r>
        <w:rPr>
          <w:color w:val="6E6158"/>
        </w:rPr>
        <w:t>Guidance</w:t>
      </w:r>
      <w:r>
        <w:rPr>
          <w:color w:val="6E6158"/>
          <w:spacing w:val="11"/>
        </w:rPr>
        <w:t> </w:t>
      </w:r>
      <w:r>
        <w:rPr>
          <w:color w:val="6E6158"/>
        </w:rPr>
        <w:t>Issued</w:t>
      </w:r>
      <w:r>
        <w:rPr>
          <w:color w:val="6E6158"/>
          <w:spacing w:val="10"/>
        </w:rPr>
        <w:t> </w:t>
      </w:r>
      <w:r>
        <w:rPr>
          <w:color w:val="6E6158"/>
        </w:rPr>
        <w:t>By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FFIEC”</w:t>
      </w:r>
    </w:p>
    <w:p>
      <w:pPr>
        <w:pStyle w:val="BodyText"/>
        <w:spacing w:line="302" w:lineRule="auto" w:before="174"/>
        <w:ind w:right="323"/>
      </w:pPr>
      <w:r>
        <w:rPr>
          <w:color w:val="6E6158"/>
        </w:rPr>
        <w:t>Author, “Facilitating Financial Transactions in the Age of Internet Gambling: Compliance with </w:t>
      </w:r>
      <w:r>
        <w:rPr>
          <w:color w:val="6E6158"/>
        </w:rPr>
        <w:t>the Unlawful Internet Gambling Enforcement Act”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Author,</w:t>
      </w:r>
      <w:r>
        <w:rPr>
          <w:color w:val="6E6158"/>
          <w:spacing w:val="11"/>
        </w:rPr>
        <w:t> </w:t>
      </w:r>
      <w:r>
        <w:rPr>
          <w:color w:val="6E6158"/>
        </w:rPr>
        <w:t>“CFPB</w:t>
      </w:r>
      <w:r>
        <w:rPr>
          <w:color w:val="6E6158"/>
          <w:spacing w:val="11"/>
        </w:rPr>
        <w:t> </w:t>
      </w:r>
      <w:r>
        <w:rPr>
          <w:color w:val="6E6158"/>
        </w:rPr>
        <w:t>Announces</w:t>
      </w:r>
      <w:r>
        <w:rPr>
          <w:color w:val="6E6158"/>
          <w:spacing w:val="11"/>
        </w:rPr>
        <w:t> </w:t>
      </w:r>
      <w:r>
        <w:rPr>
          <w:color w:val="6E6158"/>
        </w:rPr>
        <w:t>Early</w:t>
      </w:r>
      <w:r>
        <w:rPr>
          <w:color w:val="6E6158"/>
          <w:spacing w:val="11"/>
        </w:rPr>
        <w:t> </w:t>
      </w:r>
      <w:r>
        <w:rPr>
          <w:color w:val="6E6158"/>
        </w:rPr>
        <w:t>Warning</w:t>
      </w:r>
      <w:r>
        <w:rPr>
          <w:color w:val="6E6158"/>
          <w:spacing w:val="11"/>
        </w:rPr>
        <w:t> </w:t>
      </w:r>
      <w:r>
        <w:rPr>
          <w:color w:val="6E6158"/>
        </w:rPr>
        <w:t>Notice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Enforcement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Actions”</w:t>
      </w:r>
    </w:p>
    <w:p>
      <w:pPr>
        <w:pStyle w:val="BodyText"/>
        <w:spacing w:line="302" w:lineRule="auto" w:before="174"/>
        <w:ind w:right="550"/>
      </w:pPr>
      <w:r>
        <w:rPr>
          <w:color w:val="6E6158"/>
        </w:rPr>
        <w:t>Author, “Betting and Buying: The Legality of Facilitating Financial Payments for </w:t>
      </w:r>
      <w:r>
        <w:rPr>
          <w:color w:val="6E6158"/>
        </w:rPr>
        <w:t>Internet </w:t>
      </w:r>
      <w:r>
        <w:rPr>
          <w:color w:val="6E6158"/>
          <w:spacing w:val="-2"/>
        </w:rPr>
        <w:t>Gambling”</w:t>
      </w:r>
    </w:p>
    <w:p>
      <w:pPr>
        <w:pStyle w:val="BodyText"/>
        <w:spacing w:line="292" w:lineRule="auto" w:before="113"/>
        <w:ind w:right="323"/>
      </w:pPr>
      <w:r>
        <w:rPr>
          <w:color w:val="6E6158"/>
        </w:rPr>
        <w:t>Author, “The Dodd-Frank Act and Consumer Financial Protection Bureau, What You Need to </w:t>
      </w:r>
      <w:r>
        <w:rPr>
          <w:color w:val="6E6158"/>
          <w:spacing w:val="-2"/>
        </w:rPr>
        <w:t>Know”</w:t>
      </w:r>
    </w:p>
    <w:p>
      <w:pPr>
        <w:pStyle w:val="BodyText"/>
        <w:spacing w:line="427" w:lineRule="auto" w:before="123"/>
        <w:ind w:right="323"/>
      </w:pPr>
      <w:r>
        <w:rPr>
          <w:color w:val="6E6158"/>
        </w:rPr>
        <w:t>Presenter, “Emerging Issues: Social Media Guidelines for Banks and Financial Institutions </w:t>
      </w:r>
      <w:r>
        <w:rPr>
          <w:color w:val="6E6158"/>
        </w:rPr>
        <w:t>Explored” Presenter, “Deconstructing a Litigation Budget”</w:t>
      </w:r>
    </w:p>
    <w:p>
      <w:pPr>
        <w:pStyle w:val="Heading2"/>
        <w:spacing w:before="276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4408"/>
      </w:pPr>
      <w:r>
        <w:rPr>
          <w:color w:val="6E6158"/>
        </w:rPr>
        <w:t>Chair-Elect, Chandler Chamber of Commerce Board,</w:t>
      </w:r>
      <w:r>
        <w:rPr>
          <w:color w:val="6E6158"/>
          <w:spacing w:val="40"/>
        </w:rPr>
        <w:t> </w:t>
      </w:r>
      <w:r>
        <w:rPr>
          <w:color w:val="6E6158"/>
        </w:rPr>
        <w:t>Ninth</w:t>
      </w:r>
      <w:r>
        <w:rPr>
          <w:color w:val="6E6158"/>
          <w:spacing w:val="40"/>
        </w:rPr>
        <w:t> </w:t>
      </w:r>
      <w:r>
        <w:rPr>
          <w:color w:val="6E6158"/>
        </w:rPr>
        <w:t>Circuit</w:t>
      </w:r>
      <w:r>
        <w:rPr>
          <w:color w:val="6E6158"/>
          <w:spacing w:val="40"/>
        </w:rPr>
        <w:t> </w:t>
      </w:r>
      <w:r>
        <w:rPr>
          <w:color w:val="6E6158"/>
        </w:rPr>
        <w:t>Lawyers</w:t>
      </w:r>
      <w:r>
        <w:rPr>
          <w:color w:val="6E6158"/>
          <w:spacing w:val="40"/>
        </w:rPr>
        <w:t> </w:t>
      </w:r>
      <w:r>
        <w:rPr>
          <w:color w:val="6E6158"/>
        </w:rPr>
        <w:t>Representative Federal Bar Association, National Board of </w:t>
      </w:r>
      <w:r>
        <w:rPr>
          <w:color w:val="6E6158"/>
        </w:rPr>
        <w:t>Directors</w:t>
      </w:r>
    </w:p>
    <w:p>
      <w:pPr>
        <w:pStyle w:val="BodyText"/>
        <w:spacing w:line="420" w:lineRule="auto" w:before="6"/>
        <w:ind w:right="2760"/>
      </w:pPr>
      <w:r>
        <w:rPr>
          <w:color w:val="6E6158"/>
        </w:rPr>
        <w:t>Federal Bar Association, Federal Litigation Section, Board </w:t>
      </w:r>
      <w:r>
        <w:rPr>
          <w:color w:val="6E6158"/>
        </w:rPr>
        <w:t>Member Federal Bar Association, National Sections and Divisions Council</w:t>
      </w:r>
    </w:p>
    <w:p>
      <w:pPr>
        <w:pStyle w:val="BodyText"/>
        <w:spacing w:line="427" w:lineRule="auto"/>
        <w:ind w:right="323"/>
      </w:pPr>
      <w:r>
        <w:rPr>
          <w:color w:val="6E6158"/>
        </w:rPr>
        <w:t>Board of Directors, Phoenix Chapter of Federal Bar Association, Past President and Member</w:t>
      </w:r>
      <w:r>
        <w:rPr>
          <w:color w:val="6E6158"/>
          <w:spacing w:val="40"/>
        </w:rPr>
        <w:t> </w:t>
      </w:r>
      <w:r>
        <w:rPr>
          <w:color w:val="6E6158"/>
        </w:rPr>
        <w:t>Arizona Women Lawyer’s Association, Board of Directors</w:t>
      </w:r>
    </w:p>
    <w:p>
      <w:pPr>
        <w:pStyle w:val="BodyText"/>
        <w:spacing w:line="393" w:lineRule="auto"/>
        <w:ind w:left="343" w:right="6477" w:hanging="245"/>
      </w:pPr>
      <w:r>
        <w:rPr>
          <w:color w:val="6E6158"/>
        </w:rPr>
        <w:t>Arizona Humane Society Board of Directors, </w:t>
      </w:r>
      <w:r>
        <w:rPr>
          <w:color w:val="6E6158"/>
        </w:rPr>
        <w:t>Chair</w:t>
      </w:r>
    </w:p>
    <w:p>
      <w:pPr>
        <w:pStyle w:val="BodyText"/>
        <w:spacing w:before="16"/>
        <w:ind w:left="343"/>
      </w:pPr>
      <w:r>
        <w:rPr>
          <w:color w:val="6E6158"/>
        </w:rPr>
        <w:t>Board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Directors,</w:t>
      </w:r>
      <w:r>
        <w:rPr>
          <w:color w:val="6E6158"/>
          <w:spacing w:val="14"/>
        </w:rPr>
        <w:t> </w:t>
      </w:r>
      <w:r>
        <w:rPr>
          <w:color w:val="6E6158"/>
        </w:rPr>
        <w:t>Vice-</w:t>
      </w:r>
      <w:r>
        <w:rPr>
          <w:color w:val="6E6158"/>
          <w:spacing w:val="-2"/>
        </w:rPr>
        <w:t>Chair</w:t>
      </w:r>
    </w:p>
    <w:p>
      <w:pPr>
        <w:pStyle w:val="BodyText"/>
        <w:spacing w:before="182"/>
        <w:ind w:left="343"/>
      </w:pPr>
      <w:r>
        <w:rPr>
          <w:color w:val="6E6158"/>
        </w:rPr>
        <w:t>Board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Directors,</w:t>
      </w:r>
      <w:r>
        <w:rPr>
          <w:color w:val="6E6158"/>
          <w:spacing w:val="17"/>
        </w:rPr>
        <w:t> </w:t>
      </w:r>
      <w:r>
        <w:rPr>
          <w:color w:val="6E6158"/>
        </w:rPr>
        <w:t>Governance</w:t>
      </w:r>
      <w:r>
        <w:rPr>
          <w:color w:val="6E6158"/>
          <w:spacing w:val="16"/>
        </w:rPr>
        <w:t> </w:t>
      </w:r>
      <w:r>
        <w:rPr>
          <w:color w:val="6E6158"/>
        </w:rPr>
        <w:t>Committee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Chair</w:t>
      </w:r>
    </w:p>
    <w:p>
      <w:pPr>
        <w:pStyle w:val="BodyText"/>
        <w:spacing w:line="420" w:lineRule="auto" w:before="174"/>
        <w:ind w:left="343" w:right="1204"/>
      </w:pPr>
      <w:r>
        <w:rPr>
          <w:color w:val="6E6158"/>
        </w:rPr>
        <w:t>Co-Chair of Arizona Humane Society Signature Event, Compassion with </w:t>
      </w:r>
      <w:r>
        <w:rPr>
          <w:color w:val="6E6158"/>
        </w:rPr>
        <w:t>Fashion Board of Directors, Member</w:t>
      </w:r>
    </w:p>
    <w:p>
      <w:pPr>
        <w:pStyle w:val="BodyText"/>
        <w:spacing w:line="231" w:lineRule="exact"/>
      </w:pPr>
      <w:r>
        <w:rPr>
          <w:color w:val="6E6158"/>
        </w:rPr>
        <w:t>Phoenix</w:t>
      </w:r>
      <w:r>
        <w:rPr>
          <w:color w:val="6E6158"/>
          <w:spacing w:val="13"/>
        </w:rPr>
        <w:t> </w:t>
      </w:r>
      <w:r>
        <w:rPr>
          <w:color w:val="6E6158"/>
        </w:rPr>
        <w:t>Suns</w:t>
      </w:r>
      <w:r>
        <w:rPr>
          <w:color w:val="6E6158"/>
          <w:spacing w:val="14"/>
        </w:rPr>
        <w:t> </w:t>
      </w:r>
      <w:r>
        <w:rPr>
          <w:color w:val="6E6158"/>
        </w:rPr>
        <w:t>Charities</w:t>
      </w:r>
      <w:r>
        <w:rPr>
          <w:color w:val="6E6158"/>
          <w:spacing w:val="14"/>
        </w:rPr>
        <w:t> </w:t>
      </w:r>
      <w:r>
        <w:rPr>
          <w:color w:val="6E6158"/>
          <w:spacing w:val="-5"/>
        </w:rPr>
        <w:t>88</w:t>
      </w:r>
    </w:p>
    <w:p>
      <w:pPr>
        <w:pStyle w:val="BodyText"/>
        <w:spacing w:line="420" w:lineRule="auto" w:before="157"/>
        <w:ind w:left="343" w:right="4408"/>
      </w:pPr>
      <w:r>
        <w:rPr>
          <w:color w:val="6E6158"/>
        </w:rPr>
        <w:t>Board of Directors (known as “The Big </w:t>
      </w:r>
      <w:r>
        <w:rPr>
          <w:color w:val="6E6158"/>
        </w:rPr>
        <w:t>Gorillas”) </w:t>
      </w:r>
      <w:r>
        <w:rPr>
          <w:color w:val="6E6158"/>
          <w:spacing w:val="-2"/>
        </w:rPr>
        <w:t>Member</w:t>
      </w:r>
    </w:p>
    <w:p>
      <w:pPr>
        <w:pStyle w:val="BodyText"/>
        <w:spacing w:line="420" w:lineRule="auto"/>
        <w:ind w:right="876"/>
      </w:pPr>
      <w:r>
        <w:rPr>
          <w:color w:val="6E6158"/>
        </w:rPr>
        <w:t>Member, Site Council for Curriculum Development, Knox Gifted Academy </w:t>
      </w:r>
      <w:r>
        <w:rPr>
          <w:color w:val="6E6158"/>
        </w:rPr>
        <w:t>(Chandler) Board of Directors, Herberger Theater Center</w:t>
      </w:r>
    </w:p>
    <w:p>
      <w:pPr>
        <w:pStyle w:val="BodyText"/>
        <w:spacing w:before="5"/>
      </w:pPr>
      <w:r>
        <w:rPr>
          <w:color w:val="6E6158"/>
        </w:rPr>
        <w:t>Board</w:t>
      </w:r>
      <w:r>
        <w:rPr>
          <w:color w:val="6E6158"/>
          <w:spacing w:val="9"/>
        </w:rPr>
        <w:t> </w:t>
      </w:r>
      <w:r>
        <w:rPr>
          <w:color w:val="6E6158"/>
        </w:rPr>
        <w:t>Member,</w:t>
      </w:r>
      <w:r>
        <w:rPr>
          <w:color w:val="6E6158"/>
          <w:spacing w:val="10"/>
        </w:rPr>
        <w:t> </w:t>
      </w:r>
      <w:r>
        <w:rPr>
          <w:color w:val="6E6158"/>
        </w:rPr>
        <w:t>Women’s</w:t>
      </w:r>
      <w:r>
        <w:rPr>
          <w:color w:val="6E6158"/>
          <w:spacing w:val="9"/>
        </w:rPr>
        <w:t> </w:t>
      </w:r>
      <w:r>
        <w:rPr>
          <w:color w:val="6E6158"/>
        </w:rPr>
        <w:t>Metropolitan</w:t>
      </w:r>
      <w:r>
        <w:rPr>
          <w:color w:val="6E6158"/>
          <w:spacing w:val="10"/>
        </w:rPr>
        <w:t> </w:t>
      </w:r>
      <w:r>
        <w:rPr>
          <w:color w:val="6E6158"/>
        </w:rPr>
        <w:t>Arts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Council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</w:t>
      </w:r>
      <w:r>
        <w:rPr>
          <w:color w:val="6E6158"/>
          <w:spacing w:val="10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amarconi@fennemorelaw.com" TargetMode="External"/><Relationship Id="rId11" Type="http://schemas.openxmlformats.org/officeDocument/2006/relationships/hyperlink" Target="https://inbusinessphx.com/legal-regulations/avoid-the-fallout-from-a-business-divorce" TargetMode="External"/><Relationship Id="rId12" Type="http://schemas.openxmlformats.org/officeDocument/2006/relationships/hyperlink" Target="https://www.wealthmanagement.com/high-net-worth/how-to-avoid-a-contentious-business-divorce" TargetMode="External"/><Relationship Id="rId13" Type="http://schemas.openxmlformats.org/officeDocument/2006/relationships/hyperlink" Target="https://www.fennemorelaw.com/clickwrap-agreements-are-binding-contracts-key-considerations-for-consumers-and-businesses/" TargetMode="External"/><Relationship Id="rId14" Type="http://schemas.openxmlformats.org/officeDocument/2006/relationships/hyperlink" Target="https://www.fennemorelaw.com/insights/newsletters/2021/osha-issues-emergency-temporary-standard-for-health-care-employers" TargetMode="External"/><Relationship Id="rId15" Type="http://schemas.openxmlformats.org/officeDocument/2006/relationships/hyperlink" Target="https://www.fennemorelaw.com/insights/newsletters/2021/what-to-know-updated-osha-covid-19-guidance-for-workplaces" TargetMode="External"/><Relationship Id="rId16" Type="http://schemas.openxmlformats.org/officeDocument/2006/relationships/hyperlink" Target="https://inbusinessphx.com/legal-regulations/contract-dispute-resolution-provisions-are-not-one-size-fits-all#.YJVOOrVKgUH" TargetMode="External"/><Relationship Id="rId17" Type="http://schemas.openxmlformats.org/officeDocument/2006/relationships/hyperlink" Target="https://issuu.com/timespub/docs/afn_0428_book/32" TargetMode="External"/><Relationship Id="rId18" Type="http://schemas.openxmlformats.org/officeDocument/2006/relationships/hyperlink" Target="https://www.fennemorelaw.com/insights/newsletters/2021/arizona-enacts-covid-19-liability-protections-for-health-professionals" TargetMode="External"/><Relationship Id="rId19" Type="http://schemas.openxmlformats.org/officeDocument/2006/relationships/hyperlink" Target="https://www.fennemorelaw.com/insights/newsletters/2021/governor-ducey-bans-vaccine-passports-for-state-and-local-governments" TargetMode="External"/><Relationship Id="rId20" Type="http://schemas.openxmlformats.org/officeDocument/2006/relationships/hyperlink" Target="https://www.fennemorelaw.com/insights/newsletters/2021/arizona-enacts-covid-19-liability-shield-law" TargetMode="External"/><Relationship Id="rId21" Type="http://schemas.openxmlformats.org/officeDocument/2006/relationships/hyperlink" Target="https://www.fennemorelaw.com/insights/newsletters/2020/what-recent-regulatory-actions-can-tell-payment-processors-and-isos-about-the-anticipated-wave-of-covid-19-related-enforcement-and-how-to-protect-your-business" TargetMode="External"/><Relationship Id="rId22" Type="http://schemas.openxmlformats.org/officeDocument/2006/relationships/hyperlink" Target="https://www.fennemorelaw.com/insights/newsletters/2020/all-good-things-must-come-to-an-end" TargetMode="External"/><Relationship Id="rId23" Type="http://schemas.openxmlformats.org/officeDocument/2006/relationships/hyperlink" Target="https://www.fennemorelaw.com/insights/newsletters/2020/covid-19-and-its-impact-on-statutes-of-limitation-for-legal-claims" TargetMode="External"/><Relationship Id="rId24" Type="http://schemas.openxmlformats.org/officeDocument/2006/relationships/hyperlink" Target="https://www.fennemorelaw.com/insights/newsletters/2019/vazquez-v-jan-pro-franchising-international-inc-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Andrea L. Marconi - Fennemore</dc:title>
  <dcterms:created xsi:type="dcterms:W3CDTF">2026-08-27T15:23:25Z</dcterms:created>
  <dcterms:modified xsi:type="dcterms:W3CDTF">2026-08-27T15:23:25Z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