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0"/>
        <w:rPr>
          <w:rFonts w:ascii="Times New Roman"/>
          <w:sz w:val="24"/>
        </w:rPr>
      </w:pPr>
    </w:p>
    <w:p>
      <w:pPr>
        <w:pStyle w:val="BodyText"/>
        <w:ind w:left="0"/>
        <w:rPr>
          <w:rFonts w:ascii="Times New Roman"/>
          <w:sz w:val="24"/>
        </w:rPr>
      </w:pPr>
    </w:p>
    <w:p>
      <w:pPr>
        <w:pStyle w:val="BodyText"/>
        <w:ind w:left="0"/>
        <w:rPr>
          <w:rFonts w:ascii="Times New Roman"/>
          <w:sz w:val="24"/>
        </w:rPr>
      </w:pPr>
    </w:p>
    <w:p>
      <w:pPr>
        <w:pStyle w:val="BodyText"/>
        <w:ind w:left="0"/>
        <w:rPr>
          <w:rFonts w:ascii="Times New Roman"/>
          <w:sz w:val="24"/>
        </w:rPr>
      </w:pPr>
    </w:p>
    <w:p>
      <w:pPr>
        <w:pStyle w:val="BodyText"/>
        <w:ind w:left="0"/>
        <w:rPr>
          <w:rFonts w:ascii="Times New Roman"/>
          <w:sz w:val="24"/>
        </w:rPr>
      </w:pPr>
    </w:p>
    <w:p>
      <w:pPr>
        <w:pStyle w:val="BodyText"/>
        <w:ind w:left="0"/>
        <w:rPr>
          <w:rFonts w:ascii="Times New Roman"/>
          <w:sz w:val="24"/>
        </w:rPr>
      </w:pPr>
    </w:p>
    <w:p>
      <w:pPr>
        <w:pStyle w:val="BodyText"/>
        <w:ind w:left="0"/>
        <w:rPr>
          <w:rFonts w:ascii="Times New Roman"/>
          <w:sz w:val="24"/>
        </w:rPr>
      </w:pPr>
    </w:p>
    <w:p>
      <w:pPr>
        <w:pStyle w:val="BodyText"/>
        <w:ind w:left="0"/>
        <w:rPr>
          <w:rFonts w:ascii="Times New Roman"/>
          <w:sz w:val="24"/>
        </w:rPr>
      </w:pPr>
    </w:p>
    <w:p>
      <w:pPr>
        <w:pStyle w:val="BodyText"/>
        <w:ind w:left="0"/>
        <w:rPr>
          <w:rFonts w:ascii="Times New Roman"/>
          <w:sz w:val="24"/>
        </w:rPr>
      </w:pPr>
    </w:p>
    <w:p>
      <w:pPr>
        <w:pStyle w:val="BodyText"/>
        <w:ind w:left="0"/>
        <w:rPr>
          <w:rFonts w:ascii="Times New Roman"/>
          <w:sz w:val="24"/>
        </w:rPr>
      </w:pPr>
    </w:p>
    <w:p>
      <w:pPr>
        <w:pStyle w:val="BodyText"/>
        <w:ind w:left="0"/>
        <w:rPr>
          <w:rFonts w:ascii="Times New Roman"/>
          <w:sz w:val="24"/>
        </w:rPr>
      </w:pPr>
    </w:p>
    <w:p>
      <w:pPr>
        <w:pStyle w:val="BodyText"/>
        <w:ind w:left="0"/>
        <w:rPr>
          <w:rFonts w:ascii="Times New Roman"/>
          <w:sz w:val="24"/>
        </w:rPr>
      </w:pPr>
    </w:p>
    <w:p>
      <w:pPr>
        <w:pStyle w:val="BodyText"/>
        <w:ind w:left="0"/>
        <w:rPr>
          <w:rFonts w:ascii="Times New Roman"/>
          <w:sz w:val="24"/>
        </w:rPr>
      </w:pPr>
    </w:p>
    <w:p>
      <w:pPr>
        <w:pStyle w:val="BodyText"/>
        <w:ind w:left="0"/>
        <w:rPr>
          <w:rFonts w:ascii="Times New Roman"/>
          <w:sz w:val="24"/>
        </w:rPr>
      </w:pPr>
    </w:p>
    <w:p>
      <w:pPr>
        <w:pStyle w:val="BodyText"/>
        <w:ind w:left="0"/>
        <w:rPr>
          <w:rFonts w:ascii="Times New Roman"/>
          <w:sz w:val="24"/>
        </w:rPr>
      </w:pPr>
    </w:p>
    <w:p>
      <w:pPr>
        <w:pStyle w:val="BodyText"/>
        <w:ind w:left="0"/>
        <w:rPr>
          <w:rFonts w:ascii="Times New Roman"/>
          <w:sz w:val="24"/>
        </w:rPr>
      </w:pPr>
    </w:p>
    <w:p>
      <w:pPr>
        <w:pStyle w:val="BodyText"/>
        <w:ind w:left="0"/>
        <w:rPr>
          <w:rFonts w:ascii="Times New Roman"/>
          <w:sz w:val="24"/>
        </w:rPr>
      </w:pPr>
    </w:p>
    <w:p>
      <w:pPr>
        <w:pStyle w:val="BodyText"/>
        <w:spacing w:before="116"/>
        <w:ind w:left="0"/>
        <w:rPr>
          <w:rFonts w:ascii="Times New Roman"/>
          <w:sz w:val="24"/>
        </w:rPr>
      </w:pPr>
    </w:p>
    <w:p>
      <w:pPr>
        <w:spacing w:before="0"/>
        <w:ind w:left="99" w:right="0" w:firstLine="0"/>
        <w:jc w:val="left"/>
        <w:rPr>
          <w:b/>
          <w:sz w:val="24"/>
        </w:rPr>
      </w:pPr>
      <w:r>
        <w:rPr>
          <w:b/>
          <w:sz w:val="24"/>
        </w:rPr>
        <mc:AlternateContent>
          <mc:Choice Requires="wps">
            <w:drawing>
              <wp:anchor distT="0" distB="0" distL="0" distR="0" allowOverlap="1" layoutInCell="1" locked="0" behindDoc="0" simplePos="0" relativeHeight="15728640">
                <wp:simplePos x="0" y="0"/>
                <wp:positionH relativeFrom="page">
                  <wp:posOffset>848486</wp:posOffset>
                </wp:positionH>
                <wp:positionV relativeFrom="paragraph">
                  <wp:posOffset>-3231247</wp:posOffset>
                </wp:positionV>
                <wp:extent cx="6071870" cy="3162935"/>
                <wp:effectExtent l="0" t="0" r="0" b="0"/>
                <wp:wrapNone/>
                <wp:docPr id="1" name="Group 1"/>
                <wp:cNvGraphicFramePr>
                  <a:graphicFrameLocks/>
                </wp:cNvGraphicFramePr>
                <a:graphic>
                  <a:graphicData uri="http://schemas.microsoft.com/office/word/2010/wordprocessingGroup">
                    <wpg:wgp>
                      <wpg:cNvPr id="1" name="Group 1"/>
                      <wpg:cNvGrpSpPr/>
                      <wpg:grpSpPr>
                        <a:xfrm>
                          <a:off x="0" y="0"/>
                          <a:ext cx="6071870" cy="3162935"/>
                          <a:chExt cx="6071870" cy="3162935"/>
                        </a:xfrm>
                      </wpg:grpSpPr>
                      <pic:pic>
                        <pic:nvPicPr>
                          <pic:cNvPr id="2" name="Image 2" descr="Fennemore">
                            <a:hlinkClick r:id="rId6"/>
                          </pic:cNvPr>
                          <pic:cNvPicPr/>
                        </pic:nvPicPr>
                        <pic:blipFill>
                          <a:blip r:embed="rId5" cstate="print"/>
                          <a:stretch>
                            <a:fillRect/>
                          </a:stretch>
                        </pic:blipFill>
                        <pic:spPr>
                          <a:xfrm>
                            <a:off x="0" y="0"/>
                            <a:ext cx="1374505" cy="268700"/>
                          </a:xfrm>
                          <a:prstGeom prst="rect">
                            <a:avLst/>
                          </a:prstGeom>
                        </pic:spPr>
                      </pic:pic>
                      <pic:pic>
                        <pic:nvPicPr>
                          <pic:cNvPr id="3" name="Image 3" descr="Chris Hawkins"/>
                          <pic:cNvPicPr/>
                        </pic:nvPicPr>
                        <pic:blipFill>
                          <a:blip r:embed="rId7" cstate="print"/>
                          <a:stretch>
                            <a:fillRect/>
                          </a:stretch>
                        </pic:blipFill>
                        <pic:spPr>
                          <a:xfrm>
                            <a:off x="0" y="268700"/>
                            <a:ext cx="3038379" cy="2893694"/>
                          </a:xfrm>
                          <a:prstGeom prst="rect">
                            <a:avLst/>
                          </a:prstGeom>
                        </pic:spPr>
                      </pic:pic>
                      <wps:wsp>
                        <wps:cNvPr id="4" name="Graphic 4"/>
                        <wps:cNvSpPr/>
                        <wps:spPr>
                          <a:xfrm>
                            <a:off x="3038379" y="268700"/>
                            <a:ext cx="3033395" cy="2893695"/>
                          </a:xfrm>
                          <a:custGeom>
                            <a:avLst/>
                            <a:gdLst/>
                            <a:ahLst/>
                            <a:cxnLst/>
                            <a:rect l="l" t="t" r="r" b="b"/>
                            <a:pathLst>
                              <a:path w="3033395" h="2893695">
                                <a:moveTo>
                                  <a:pt x="3033212" y="2893694"/>
                                </a:moveTo>
                                <a:lnTo>
                                  <a:pt x="0" y="2893694"/>
                                </a:lnTo>
                                <a:lnTo>
                                  <a:pt x="0" y="0"/>
                                </a:lnTo>
                                <a:lnTo>
                                  <a:pt x="3033212" y="0"/>
                                </a:lnTo>
                                <a:lnTo>
                                  <a:pt x="3033212" y="2893694"/>
                                </a:lnTo>
                                <a:close/>
                              </a:path>
                            </a:pathLst>
                          </a:custGeom>
                          <a:solidFill>
                            <a:srgbClr val="262424"/>
                          </a:solidFill>
                        </wps:spPr>
                        <wps:bodyPr wrap="square" lIns="0" tIns="0" rIns="0" bIns="0" rtlCol="0">
                          <a:prstTxWarp prst="textNoShape">
                            <a:avLst/>
                          </a:prstTxWarp>
                          <a:noAutofit/>
                        </wps:bodyPr>
                      </wps:wsp>
                      <wps:wsp>
                        <wps:cNvPr id="5" name="Graphic 5"/>
                        <wps:cNvSpPr/>
                        <wps:spPr>
                          <a:xfrm>
                            <a:off x="3493097" y="1643214"/>
                            <a:ext cx="2118995" cy="320675"/>
                          </a:xfrm>
                          <a:custGeom>
                            <a:avLst/>
                            <a:gdLst/>
                            <a:ahLst/>
                            <a:cxnLst/>
                            <a:rect l="l" t="t" r="r" b="b"/>
                            <a:pathLst>
                              <a:path w="2118995" h="320675">
                                <a:moveTo>
                                  <a:pt x="2118601" y="315201"/>
                                </a:moveTo>
                                <a:lnTo>
                                  <a:pt x="0" y="315201"/>
                                </a:lnTo>
                                <a:lnTo>
                                  <a:pt x="0" y="320370"/>
                                </a:lnTo>
                                <a:lnTo>
                                  <a:pt x="2118601" y="320370"/>
                                </a:lnTo>
                                <a:lnTo>
                                  <a:pt x="2118601" y="315201"/>
                                </a:lnTo>
                                <a:close/>
                              </a:path>
                              <a:path w="2118995" h="320675">
                                <a:moveTo>
                                  <a:pt x="2118601" y="0"/>
                                </a:moveTo>
                                <a:lnTo>
                                  <a:pt x="0" y="0"/>
                                </a:lnTo>
                                <a:lnTo>
                                  <a:pt x="0" y="5168"/>
                                </a:lnTo>
                                <a:lnTo>
                                  <a:pt x="2118601" y="5168"/>
                                </a:lnTo>
                                <a:lnTo>
                                  <a:pt x="2118601" y="0"/>
                                </a:lnTo>
                                <a:close/>
                              </a:path>
                            </a:pathLst>
                          </a:custGeom>
                          <a:solidFill>
                            <a:srgbClr val="FFFFFF"/>
                          </a:solidFill>
                        </wps:spPr>
                        <wps:bodyPr wrap="square" lIns="0" tIns="0" rIns="0" bIns="0" rtlCol="0">
                          <a:prstTxWarp prst="textNoShape">
                            <a:avLst/>
                          </a:prstTxWarp>
                          <a:noAutofit/>
                        </wps:bodyPr>
                      </wps:wsp>
                      <wps:wsp>
                        <wps:cNvPr id="6" name="Textbox 6"/>
                        <wps:cNvSpPr txBox="1"/>
                        <wps:spPr>
                          <a:xfrm>
                            <a:off x="3596207" y="763308"/>
                            <a:ext cx="1927860" cy="1099185"/>
                          </a:xfrm>
                          <a:prstGeom prst="rect">
                            <a:avLst/>
                          </a:prstGeom>
                        </wps:spPr>
                        <wps:txbx>
                          <w:txbxContent>
                            <w:p>
                              <w:pPr>
                                <w:spacing w:line="216" w:lineRule="auto" w:before="40"/>
                                <w:ind w:left="-1" w:right="18" w:firstLine="0"/>
                                <w:jc w:val="center"/>
                                <w:rPr>
                                  <w:sz w:val="39"/>
                                </w:rPr>
                              </w:pPr>
                              <w:r>
                                <w:rPr>
                                  <w:color w:val="FFFFFF"/>
                                  <w:spacing w:val="-2"/>
                                  <w:sz w:val="39"/>
                                </w:rPr>
                                <w:t>CHRISTOPHER</w:t>
                              </w:r>
                              <w:r>
                                <w:rPr>
                                  <w:color w:val="FFFFFF"/>
                                  <w:spacing w:val="-25"/>
                                  <w:sz w:val="39"/>
                                </w:rPr>
                                <w:t> </w:t>
                              </w:r>
                              <w:r>
                                <w:rPr>
                                  <w:color w:val="FFFFFF"/>
                                  <w:spacing w:val="-2"/>
                                  <w:sz w:val="39"/>
                                </w:rPr>
                                <w:t>V. HAWKINS</w:t>
                              </w:r>
                            </w:p>
                            <w:p>
                              <w:pPr>
                                <w:spacing w:before="48"/>
                                <w:ind w:left="0" w:right="18" w:firstLine="0"/>
                                <w:jc w:val="center"/>
                                <w:rPr>
                                  <w:sz w:val="24"/>
                                </w:rPr>
                              </w:pPr>
                              <w:r>
                                <w:rPr>
                                  <w:color w:val="FFFFFF"/>
                                  <w:spacing w:val="-2"/>
                                  <w:sz w:val="24"/>
                                </w:rPr>
                                <w:t>Director</w:t>
                              </w:r>
                            </w:p>
                            <w:p>
                              <w:pPr>
                                <w:spacing w:before="291"/>
                                <w:ind w:left="0" w:right="18" w:firstLine="0"/>
                                <w:jc w:val="center"/>
                                <w:rPr>
                                  <w:sz w:val="16"/>
                                </w:rPr>
                              </w:pPr>
                              <w:hyperlink r:id="rId8">
                                <w:r>
                                  <w:rPr>
                                    <w:color w:val="FFFFFF"/>
                                    <w:sz w:val="16"/>
                                  </w:rPr>
                                  <w:t>Financial</w:t>
                                </w:r>
                                <w:r>
                                  <w:rPr>
                                    <w:color w:val="FFFFFF"/>
                                    <w:spacing w:val="6"/>
                                    <w:sz w:val="16"/>
                                  </w:rPr>
                                  <w:t> </w:t>
                                </w:r>
                                <w:r>
                                  <w:rPr>
                                    <w:color w:val="FFFFFF"/>
                                    <w:spacing w:val="-2"/>
                                    <w:sz w:val="16"/>
                                  </w:rPr>
                                  <w:t>Restructuring</w:t>
                                </w:r>
                              </w:hyperlink>
                            </w:p>
                          </w:txbxContent>
                        </wps:txbx>
                        <wps:bodyPr wrap="square" lIns="0" tIns="0" rIns="0" bIns="0" rtlCol="0">
                          <a:noAutofit/>
                        </wps:bodyPr>
                      </wps:wsp>
                      <wps:wsp>
                        <wps:cNvPr id="7" name="Textbox 7"/>
                        <wps:cNvSpPr txBox="1"/>
                        <wps:spPr>
                          <a:xfrm>
                            <a:off x="4295812" y="2133494"/>
                            <a:ext cx="528955" cy="127000"/>
                          </a:xfrm>
                          <a:prstGeom prst="rect">
                            <a:avLst/>
                          </a:prstGeom>
                        </wps:spPr>
                        <wps:txbx>
                          <w:txbxContent>
                            <w:p>
                              <w:pPr>
                                <w:spacing w:before="2"/>
                                <w:ind w:left="0" w:right="0" w:firstLine="0"/>
                                <w:jc w:val="left"/>
                                <w:rPr>
                                  <w:sz w:val="16"/>
                                </w:rPr>
                              </w:pPr>
                              <w:hyperlink r:id="rId9">
                                <w:r>
                                  <w:rPr>
                                    <w:color w:val="FFFFFF"/>
                                    <w:sz w:val="16"/>
                                  </w:rPr>
                                  <w:t>San</w:t>
                                </w:r>
                                <w:r>
                                  <w:rPr>
                                    <w:color w:val="FFFFFF"/>
                                    <w:spacing w:val="2"/>
                                    <w:sz w:val="16"/>
                                  </w:rPr>
                                  <w:t> </w:t>
                                </w:r>
                                <w:r>
                                  <w:rPr>
                                    <w:color w:val="FFFFFF"/>
                                    <w:spacing w:val="-2"/>
                                    <w:sz w:val="16"/>
                                  </w:rPr>
                                  <w:t>Diego</w:t>
                                </w:r>
                              </w:hyperlink>
                            </w:p>
                          </w:txbxContent>
                        </wps:txbx>
                        <wps:bodyPr wrap="square" lIns="0" tIns="0" rIns="0" bIns="0" rtlCol="0">
                          <a:noAutofit/>
                        </wps:bodyPr>
                      </wps:wsp>
                      <wps:wsp>
                        <wps:cNvPr id="8" name="Textbox 8"/>
                        <wps:cNvSpPr txBox="1"/>
                        <wps:spPr>
                          <a:xfrm>
                            <a:off x="3582320" y="2293650"/>
                            <a:ext cx="798830" cy="133350"/>
                          </a:xfrm>
                          <a:prstGeom prst="rect">
                            <a:avLst/>
                          </a:prstGeom>
                        </wps:spPr>
                        <wps:txbx>
                          <w:txbxContent>
                            <w:p>
                              <w:pPr>
                                <w:spacing w:before="1"/>
                                <w:ind w:left="0" w:right="0" w:firstLine="0"/>
                                <w:jc w:val="left"/>
                                <w:rPr>
                                  <w:sz w:val="17"/>
                                </w:rPr>
                              </w:pPr>
                              <w:r>
                                <w:rPr>
                                  <w:color w:val="FFFFFF"/>
                                  <w:sz w:val="17"/>
                                </w:rPr>
                                <w:t>P: </w:t>
                              </w:r>
                              <w:r>
                                <w:rPr>
                                  <w:color w:val="FFFFFF"/>
                                  <w:spacing w:val="-2"/>
                                  <w:sz w:val="17"/>
                                </w:rPr>
                                <w:t>619.595.3218</w:t>
                              </w:r>
                            </w:p>
                          </w:txbxContent>
                        </wps:txbx>
                        <wps:bodyPr wrap="square" lIns="0" tIns="0" rIns="0" bIns="0" rtlCol="0">
                          <a:noAutofit/>
                        </wps:bodyPr>
                      </wps:wsp>
                      <wps:wsp>
                        <wps:cNvPr id="9" name="Textbox 9"/>
                        <wps:cNvSpPr txBox="1"/>
                        <wps:spPr>
                          <a:xfrm>
                            <a:off x="4750778" y="2293650"/>
                            <a:ext cx="787400" cy="133350"/>
                          </a:xfrm>
                          <a:prstGeom prst="rect">
                            <a:avLst/>
                          </a:prstGeom>
                        </wps:spPr>
                        <wps:txbx>
                          <w:txbxContent>
                            <w:p>
                              <w:pPr>
                                <w:spacing w:before="1"/>
                                <w:ind w:left="0" w:right="0" w:firstLine="0"/>
                                <w:jc w:val="left"/>
                                <w:rPr>
                                  <w:sz w:val="17"/>
                                </w:rPr>
                              </w:pPr>
                              <w:r>
                                <w:rPr>
                                  <w:color w:val="FFFFFF"/>
                                  <w:sz w:val="17"/>
                                </w:rPr>
                                <w:t>F: </w:t>
                              </w:r>
                              <w:r>
                                <w:rPr>
                                  <w:color w:val="FFFFFF"/>
                                  <w:spacing w:val="-2"/>
                                  <w:sz w:val="17"/>
                                </w:rPr>
                                <w:t>619.231.4372</w:t>
                              </w:r>
                            </w:p>
                          </w:txbxContent>
                        </wps:txbx>
                        <wps:bodyPr wrap="square" lIns="0" tIns="0" rIns="0" bIns="0" rtlCol="0">
                          <a:noAutofit/>
                        </wps:bodyPr>
                      </wps:wsp>
                      <wps:wsp>
                        <wps:cNvPr id="10" name="Textbox 10"/>
                        <wps:cNvSpPr txBox="1"/>
                        <wps:spPr>
                          <a:xfrm>
                            <a:off x="3781503" y="2500373"/>
                            <a:ext cx="1557020" cy="127000"/>
                          </a:xfrm>
                          <a:prstGeom prst="rect">
                            <a:avLst/>
                          </a:prstGeom>
                        </wps:spPr>
                        <wps:txbx>
                          <w:txbxContent>
                            <w:p>
                              <w:pPr>
                                <w:spacing w:before="2"/>
                                <w:ind w:left="0" w:right="0" w:firstLine="0"/>
                                <w:jc w:val="left"/>
                                <w:rPr>
                                  <w:sz w:val="16"/>
                                </w:rPr>
                              </w:pPr>
                              <w:hyperlink r:id="rId10">
                                <w:r>
                                  <w:rPr>
                                    <w:color w:val="FFFFFF"/>
                                    <w:spacing w:val="-2"/>
                                    <w:sz w:val="16"/>
                                  </w:rPr>
                                  <w:t>chawkins@fennemorelaw.com</w:t>
                                </w:r>
                              </w:hyperlink>
                            </w:p>
                          </w:txbxContent>
                        </wps:txbx>
                        <wps:bodyPr wrap="square" lIns="0" tIns="0" rIns="0" bIns="0" rtlCol="0">
                          <a:noAutofit/>
                        </wps:bodyPr>
                      </wps:wsp>
                    </wpg:wgp>
                  </a:graphicData>
                </a:graphic>
              </wp:anchor>
            </w:drawing>
          </mc:Choice>
          <mc:Fallback>
            <w:pict>
              <v:group style="position:absolute;margin-left:66.809998pt;margin-top:-254.428909pt;width:478.1pt;height:249.05pt;mso-position-horizontal-relative:page;mso-position-vertical-relative:paragraph;z-index:15728640" id="docshapegroup1" coordorigin="1336,-5089" coordsize="9562,4981">
                <v:shape style="position:absolute;left:1336;top:-5089;width:2165;height:424" type="#_x0000_t75" id="docshape2" alt="Fennemore" href="https://www.fennemorelaw.com/" stroked="false">
                  <v:imagedata r:id="rId5" o:title=""/>
                </v:shape>
                <v:shape style="position:absolute;left:1336;top:-4666;width:4785;height:4557" type="#_x0000_t75" id="docshape3" alt="Chris Hawkins" stroked="false">
                  <v:imagedata r:id="rId7" o:title=""/>
                </v:shape>
                <v:rect style="position:absolute;left:6121;top:-4666;width:4777;height:4557" id="docshape4" filled="true" fillcolor="#262424" stroked="false">
                  <v:fill type="solid"/>
                </v:rect>
                <v:shape style="position:absolute;left:6837;top:-2501;width:3337;height:505" id="docshape5" coordorigin="6837,-2501" coordsize="3337,505" path="m10174,-2004l6837,-2004,6837,-1996,10174,-1996,10174,-2004xm10174,-2501l6837,-2501,6837,-2493,10174,-2493,10174,-2501xe" filled="true" fillcolor="#ffffff" stroked="false">
                  <v:path arrowok="t"/>
                  <v:fill type="solid"/>
                </v:shape>
                <v:shapetype id="_x0000_t202" o:spt="202" coordsize="21600,21600" path="m,l,21600r21600,l21600,xe">
                  <v:stroke joinstyle="miter"/>
                  <v:path gradientshapeok="t" o:connecttype="rect"/>
                </v:shapetype>
                <v:shape style="position:absolute;left:6999;top:-3887;width:3036;height:1731" type="#_x0000_t202" id="docshape6" filled="false" stroked="false">
                  <v:textbox inset="0,0,0,0">
                    <w:txbxContent>
                      <w:p>
                        <w:pPr>
                          <w:spacing w:line="216" w:lineRule="auto" w:before="40"/>
                          <w:ind w:left="-1" w:right="18" w:firstLine="0"/>
                          <w:jc w:val="center"/>
                          <w:rPr>
                            <w:sz w:val="39"/>
                          </w:rPr>
                        </w:pPr>
                        <w:r>
                          <w:rPr>
                            <w:color w:val="FFFFFF"/>
                            <w:spacing w:val="-2"/>
                            <w:sz w:val="39"/>
                          </w:rPr>
                          <w:t>CHRISTOPHER</w:t>
                        </w:r>
                        <w:r>
                          <w:rPr>
                            <w:color w:val="FFFFFF"/>
                            <w:spacing w:val="-25"/>
                            <w:sz w:val="39"/>
                          </w:rPr>
                          <w:t> </w:t>
                        </w:r>
                        <w:r>
                          <w:rPr>
                            <w:color w:val="FFFFFF"/>
                            <w:spacing w:val="-2"/>
                            <w:sz w:val="39"/>
                          </w:rPr>
                          <w:t>V. HAWKINS</w:t>
                        </w:r>
                      </w:p>
                      <w:p>
                        <w:pPr>
                          <w:spacing w:before="48"/>
                          <w:ind w:left="0" w:right="18" w:firstLine="0"/>
                          <w:jc w:val="center"/>
                          <w:rPr>
                            <w:sz w:val="24"/>
                          </w:rPr>
                        </w:pPr>
                        <w:r>
                          <w:rPr>
                            <w:color w:val="FFFFFF"/>
                            <w:spacing w:val="-2"/>
                            <w:sz w:val="24"/>
                          </w:rPr>
                          <w:t>Director</w:t>
                        </w:r>
                      </w:p>
                      <w:p>
                        <w:pPr>
                          <w:spacing w:before="291"/>
                          <w:ind w:left="0" w:right="18" w:firstLine="0"/>
                          <w:jc w:val="center"/>
                          <w:rPr>
                            <w:sz w:val="16"/>
                          </w:rPr>
                        </w:pPr>
                        <w:hyperlink r:id="rId8">
                          <w:r>
                            <w:rPr>
                              <w:color w:val="FFFFFF"/>
                              <w:sz w:val="16"/>
                            </w:rPr>
                            <w:t>Financial</w:t>
                          </w:r>
                          <w:r>
                            <w:rPr>
                              <w:color w:val="FFFFFF"/>
                              <w:spacing w:val="6"/>
                              <w:sz w:val="16"/>
                            </w:rPr>
                            <w:t> </w:t>
                          </w:r>
                          <w:r>
                            <w:rPr>
                              <w:color w:val="FFFFFF"/>
                              <w:spacing w:val="-2"/>
                              <w:sz w:val="16"/>
                            </w:rPr>
                            <w:t>Restructuring</w:t>
                          </w:r>
                        </w:hyperlink>
                      </w:p>
                    </w:txbxContent>
                  </v:textbox>
                  <w10:wrap type="none"/>
                </v:shape>
                <v:shape style="position:absolute;left:8101;top:-1729;width:833;height:200" type="#_x0000_t202" id="docshape7" filled="false" stroked="false">
                  <v:textbox inset="0,0,0,0">
                    <w:txbxContent>
                      <w:p>
                        <w:pPr>
                          <w:spacing w:before="2"/>
                          <w:ind w:left="0" w:right="0" w:firstLine="0"/>
                          <w:jc w:val="left"/>
                          <w:rPr>
                            <w:sz w:val="16"/>
                          </w:rPr>
                        </w:pPr>
                        <w:hyperlink r:id="rId9">
                          <w:r>
                            <w:rPr>
                              <w:color w:val="FFFFFF"/>
                              <w:sz w:val="16"/>
                            </w:rPr>
                            <w:t>San</w:t>
                          </w:r>
                          <w:r>
                            <w:rPr>
                              <w:color w:val="FFFFFF"/>
                              <w:spacing w:val="2"/>
                              <w:sz w:val="16"/>
                            </w:rPr>
                            <w:t> </w:t>
                          </w:r>
                          <w:r>
                            <w:rPr>
                              <w:color w:val="FFFFFF"/>
                              <w:spacing w:val="-2"/>
                              <w:sz w:val="16"/>
                            </w:rPr>
                            <w:t>Diego</w:t>
                          </w:r>
                        </w:hyperlink>
                      </w:p>
                    </w:txbxContent>
                  </v:textbox>
                  <w10:wrap type="none"/>
                </v:shape>
                <v:shape style="position:absolute;left:6977;top:-1477;width:1258;height:210" type="#_x0000_t202" id="docshape8" filled="false" stroked="false">
                  <v:textbox inset="0,0,0,0">
                    <w:txbxContent>
                      <w:p>
                        <w:pPr>
                          <w:spacing w:before="1"/>
                          <w:ind w:left="0" w:right="0" w:firstLine="0"/>
                          <w:jc w:val="left"/>
                          <w:rPr>
                            <w:sz w:val="17"/>
                          </w:rPr>
                        </w:pPr>
                        <w:r>
                          <w:rPr>
                            <w:color w:val="FFFFFF"/>
                            <w:sz w:val="17"/>
                          </w:rPr>
                          <w:t>P: </w:t>
                        </w:r>
                        <w:r>
                          <w:rPr>
                            <w:color w:val="FFFFFF"/>
                            <w:spacing w:val="-2"/>
                            <w:sz w:val="17"/>
                          </w:rPr>
                          <w:t>619.595.3218</w:t>
                        </w:r>
                      </w:p>
                    </w:txbxContent>
                  </v:textbox>
                  <w10:wrap type="none"/>
                </v:shape>
                <v:shape style="position:absolute;left:8817;top:-1477;width:1240;height:210" type="#_x0000_t202" id="docshape9" filled="false" stroked="false">
                  <v:textbox inset="0,0,0,0">
                    <w:txbxContent>
                      <w:p>
                        <w:pPr>
                          <w:spacing w:before="1"/>
                          <w:ind w:left="0" w:right="0" w:firstLine="0"/>
                          <w:jc w:val="left"/>
                          <w:rPr>
                            <w:sz w:val="17"/>
                          </w:rPr>
                        </w:pPr>
                        <w:r>
                          <w:rPr>
                            <w:color w:val="FFFFFF"/>
                            <w:sz w:val="17"/>
                          </w:rPr>
                          <w:t>F: </w:t>
                        </w:r>
                        <w:r>
                          <w:rPr>
                            <w:color w:val="FFFFFF"/>
                            <w:spacing w:val="-2"/>
                            <w:sz w:val="17"/>
                          </w:rPr>
                          <w:t>619.231.4372</w:t>
                        </w:r>
                      </w:p>
                    </w:txbxContent>
                  </v:textbox>
                  <w10:wrap type="none"/>
                </v:shape>
                <v:shape style="position:absolute;left:7291;top:-1151;width:2452;height:200" type="#_x0000_t202" id="docshape10" filled="false" stroked="false">
                  <v:textbox inset="0,0,0,0">
                    <w:txbxContent>
                      <w:p>
                        <w:pPr>
                          <w:spacing w:before="2"/>
                          <w:ind w:left="0" w:right="0" w:firstLine="0"/>
                          <w:jc w:val="left"/>
                          <w:rPr>
                            <w:sz w:val="16"/>
                          </w:rPr>
                        </w:pPr>
                        <w:hyperlink r:id="rId10">
                          <w:r>
                            <w:rPr>
                              <w:color w:val="FFFFFF"/>
                              <w:spacing w:val="-2"/>
                              <w:sz w:val="16"/>
                            </w:rPr>
                            <w:t>chawkins@fennemorelaw.com</w:t>
                          </w:r>
                        </w:hyperlink>
                      </w:p>
                    </w:txbxContent>
                  </v:textbox>
                  <w10:wrap type="none"/>
                </v:shape>
                <w10:wrap type="none"/>
              </v:group>
            </w:pict>
          </mc:Fallback>
        </mc:AlternateContent>
      </w:r>
      <w:r>
        <w:rPr>
          <w:b/>
          <w:color w:val="002E6B"/>
          <w:sz w:val="24"/>
        </w:rPr>
        <w:t>CHRISTOPHER</w:t>
      </w:r>
      <w:r>
        <w:rPr>
          <w:b/>
          <w:color w:val="002E6B"/>
          <w:spacing w:val="9"/>
          <w:sz w:val="24"/>
        </w:rPr>
        <w:t> </w:t>
      </w:r>
      <w:r>
        <w:rPr>
          <w:b/>
          <w:color w:val="002E6B"/>
          <w:sz w:val="24"/>
        </w:rPr>
        <w:t>V.</w:t>
      </w:r>
      <w:r>
        <w:rPr>
          <w:b/>
          <w:color w:val="002E6B"/>
          <w:spacing w:val="10"/>
          <w:sz w:val="24"/>
        </w:rPr>
        <w:t> </w:t>
      </w:r>
      <w:r>
        <w:rPr>
          <w:b/>
          <w:color w:val="002E6B"/>
          <w:spacing w:val="-2"/>
          <w:sz w:val="24"/>
        </w:rPr>
        <w:t>HAWKINS</w:t>
      </w:r>
    </w:p>
    <w:p>
      <w:pPr>
        <w:pStyle w:val="BodyText"/>
        <w:spacing w:line="297" w:lineRule="auto" w:before="146"/>
        <w:ind w:right="246"/>
      </w:pPr>
      <w:r>
        <w:rPr>
          <w:color w:val="6E6158"/>
        </w:rPr>
        <w:t>Christopher V. Hawkins is a commercial insolvency attorney who advises businesses, </w:t>
      </w:r>
      <w:r>
        <w:rPr>
          <w:color w:val="6E6158"/>
        </w:rPr>
        <w:t>fiduciaries,</w:t>
      </w:r>
      <w:r>
        <w:rPr>
          <w:color w:val="6E6158"/>
          <w:spacing w:val="40"/>
        </w:rPr>
        <w:t> </w:t>
      </w:r>
      <w:r>
        <w:rPr>
          <w:color w:val="6E6158"/>
        </w:rPr>
        <w:t>trade creditors, lenders, asset purchasers, and other key stakeholders in complex commercial</w:t>
      </w:r>
      <w:r>
        <w:rPr>
          <w:color w:val="6E6158"/>
          <w:spacing w:val="40"/>
        </w:rPr>
        <w:t> </w:t>
      </w:r>
      <w:r>
        <w:rPr>
          <w:color w:val="6E6158"/>
        </w:rPr>
        <w:t>insolvency</w:t>
      </w:r>
      <w:r>
        <w:rPr>
          <w:color w:val="6E6158"/>
          <w:spacing w:val="27"/>
        </w:rPr>
        <w:t> </w:t>
      </w:r>
      <w:r>
        <w:rPr>
          <w:color w:val="6E6158"/>
        </w:rPr>
        <w:t>challenges,</w:t>
      </w:r>
      <w:r>
        <w:rPr>
          <w:color w:val="6E6158"/>
          <w:spacing w:val="27"/>
        </w:rPr>
        <w:t> </w:t>
      </w:r>
      <w:r>
        <w:rPr>
          <w:color w:val="6E6158"/>
        </w:rPr>
        <w:t>regardless</w:t>
      </w:r>
      <w:r>
        <w:rPr>
          <w:color w:val="6E6158"/>
          <w:spacing w:val="27"/>
        </w:rPr>
        <w:t> </w:t>
      </w:r>
      <w:r>
        <w:rPr>
          <w:color w:val="6E6158"/>
        </w:rPr>
        <w:t>of</w:t>
      </w:r>
      <w:r>
        <w:rPr>
          <w:color w:val="6E6158"/>
          <w:spacing w:val="27"/>
        </w:rPr>
        <w:t> </w:t>
      </w:r>
      <w:r>
        <w:rPr>
          <w:color w:val="6E6158"/>
        </w:rPr>
        <w:t>when</w:t>
      </w:r>
      <w:r>
        <w:rPr>
          <w:color w:val="6E6158"/>
          <w:spacing w:val="27"/>
        </w:rPr>
        <w:t> </w:t>
      </w:r>
      <w:r>
        <w:rPr>
          <w:color w:val="6E6158"/>
        </w:rPr>
        <w:t>time</w:t>
      </w:r>
      <w:r>
        <w:rPr>
          <w:color w:val="6E6158"/>
          <w:spacing w:val="27"/>
        </w:rPr>
        <w:t> </w:t>
      </w:r>
      <w:r>
        <w:rPr>
          <w:color w:val="6E6158"/>
        </w:rPr>
        <w:t>and</w:t>
      </w:r>
      <w:r>
        <w:rPr>
          <w:color w:val="6E6158"/>
          <w:spacing w:val="27"/>
        </w:rPr>
        <w:t> </w:t>
      </w:r>
      <w:r>
        <w:rPr>
          <w:color w:val="6E6158"/>
        </w:rPr>
        <w:t>money</w:t>
      </w:r>
      <w:r>
        <w:rPr>
          <w:color w:val="6E6158"/>
          <w:spacing w:val="27"/>
        </w:rPr>
        <w:t> </w:t>
      </w:r>
      <w:r>
        <w:rPr>
          <w:color w:val="6E6158"/>
        </w:rPr>
        <w:t>are</w:t>
      </w:r>
      <w:r>
        <w:rPr>
          <w:color w:val="6E6158"/>
          <w:spacing w:val="27"/>
        </w:rPr>
        <w:t> </w:t>
      </w:r>
      <w:r>
        <w:rPr>
          <w:color w:val="6E6158"/>
        </w:rPr>
        <w:t>in</w:t>
      </w:r>
      <w:r>
        <w:rPr>
          <w:color w:val="6E6158"/>
          <w:spacing w:val="27"/>
        </w:rPr>
        <w:t> </w:t>
      </w:r>
      <w:r>
        <w:rPr>
          <w:color w:val="6E6158"/>
        </w:rPr>
        <w:t>short</w:t>
      </w:r>
      <w:r>
        <w:rPr>
          <w:color w:val="6E6158"/>
          <w:spacing w:val="27"/>
        </w:rPr>
        <w:t> </w:t>
      </w:r>
      <w:r>
        <w:rPr>
          <w:color w:val="6E6158"/>
        </w:rPr>
        <w:t>supply</w:t>
      </w:r>
      <w:r>
        <w:rPr>
          <w:color w:val="6E6158"/>
          <w:spacing w:val="27"/>
        </w:rPr>
        <w:t> </w:t>
      </w:r>
      <w:r>
        <w:rPr>
          <w:color w:val="6E6158"/>
        </w:rPr>
        <w:t>and</w:t>
      </w:r>
      <w:r>
        <w:rPr>
          <w:color w:val="6E6158"/>
          <w:spacing w:val="27"/>
        </w:rPr>
        <w:t> </w:t>
      </w:r>
      <w:r>
        <w:rPr>
          <w:color w:val="6E6158"/>
        </w:rPr>
        <w:t>of</w:t>
      </w:r>
      <w:r>
        <w:rPr>
          <w:color w:val="6E6158"/>
          <w:spacing w:val="27"/>
        </w:rPr>
        <w:t> </w:t>
      </w:r>
      <w:r>
        <w:rPr>
          <w:color w:val="6E6158"/>
        </w:rPr>
        <w:t>critical</w:t>
      </w:r>
    </w:p>
    <w:p>
      <w:pPr>
        <w:pStyle w:val="BodyText"/>
        <w:spacing w:line="295" w:lineRule="auto"/>
        <w:ind w:right="246"/>
      </w:pPr>
      <w:r>
        <w:rPr>
          <w:color w:val="6E6158"/>
        </w:rPr>
        <w:t>importance, including bankruptcies, receiverships, assignments for the benefit of creditors, and</w:t>
      </w:r>
      <w:r>
        <w:rPr>
          <w:color w:val="6E6158"/>
          <w:spacing w:val="40"/>
        </w:rPr>
        <w:t> </w:t>
      </w:r>
      <w:r>
        <w:rPr>
          <w:color w:val="6E6158"/>
        </w:rPr>
        <w:t>out-of-court workouts. When time and money are in short supply and are of critical importance,</w:t>
      </w:r>
      <w:r>
        <w:rPr>
          <w:color w:val="6E6158"/>
          <w:spacing w:val="40"/>
        </w:rPr>
        <w:t> </w:t>
      </w:r>
      <w:r>
        <w:rPr>
          <w:color w:val="6E6158"/>
        </w:rPr>
        <w:t>Chris is well-known for leveraging his broad experience to help clients navigate treacherous</w:t>
      </w:r>
      <w:r>
        <w:rPr>
          <w:color w:val="6E6158"/>
          <w:spacing w:val="40"/>
        </w:rPr>
        <w:t> </w:t>
      </w:r>
      <w:r>
        <w:rPr>
          <w:color w:val="6E6158"/>
        </w:rPr>
        <w:t>waters to pursue the best possible outcomes.</w:t>
      </w:r>
    </w:p>
    <w:p>
      <w:pPr>
        <w:pStyle w:val="BodyText"/>
        <w:spacing w:line="297" w:lineRule="auto" w:before="193"/>
        <w:ind w:right="588"/>
      </w:pPr>
      <w:r>
        <w:rPr>
          <w:color w:val="6E6158"/>
        </w:rPr>
        <w:t>Chris is a frequent speaker on topics related to bankruptcy, receivership, assignment for the</w:t>
      </w:r>
      <w:r>
        <w:rPr>
          <w:color w:val="6E6158"/>
          <w:spacing w:val="40"/>
        </w:rPr>
        <w:t> </w:t>
      </w:r>
      <w:r>
        <w:rPr>
          <w:color w:val="6E6158"/>
        </w:rPr>
        <w:t>benefit of creditors, and other insolvency matters. He previously served as an author for</w:t>
      </w:r>
      <w:r>
        <w:rPr>
          <w:color w:val="6E6158"/>
          <w:spacing w:val="40"/>
        </w:rPr>
        <w:t> </w:t>
      </w:r>
      <w:r>
        <w:rPr>
          <w:color w:val="6E6158"/>
        </w:rPr>
        <w:t>Westlaw’s Commercial Finance Newsletter.</w:t>
      </w:r>
    </w:p>
    <w:p>
      <w:pPr>
        <w:pStyle w:val="Heading1"/>
        <w:spacing w:before="157"/>
      </w:pPr>
      <w:r>
        <w:rPr>
          <w:color w:val="FF8100"/>
          <w:spacing w:val="-2"/>
        </w:rPr>
        <w:t>EDUCATION</w:t>
      </w:r>
    </w:p>
    <w:p>
      <w:pPr>
        <w:pStyle w:val="BodyText"/>
        <w:spacing w:before="28"/>
        <w:ind w:left="0"/>
        <w:rPr>
          <w:b/>
        </w:rPr>
      </w:pPr>
    </w:p>
    <w:p>
      <w:pPr>
        <w:pStyle w:val="BodyText"/>
        <w:spacing w:line="420" w:lineRule="auto"/>
        <w:ind w:right="4188"/>
      </w:pPr>
      <w:r>
        <w:rPr>
          <w:color w:val="6E6158"/>
        </w:rPr>
        <w:t>J.D., The University of Texas at Austin, School of </w:t>
      </w:r>
      <w:r>
        <w:rPr>
          <w:color w:val="6E6158"/>
        </w:rPr>
        <w:t>Law</w:t>
      </w:r>
      <w:r>
        <w:rPr>
          <w:color w:val="6E6158"/>
        </w:rPr>
        <w:t> B.A., Vanderbilt University</w:t>
      </w:r>
    </w:p>
    <w:p>
      <w:pPr>
        <w:pStyle w:val="Heading1"/>
        <w:spacing w:before="290"/>
      </w:pPr>
      <w:r>
        <w:rPr>
          <w:color w:val="FF8100"/>
        </w:rPr>
        <w:t>AREAS</w:t>
      </w:r>
      <w:r>
        <w:rPr>
          <w:color w:val="FF8100"/>
          <w:spacing w:val="6"/>
        </w:rPr>
        <w:t> </w:t>
      </w:r>
      <w:r>
        <w:rPr>
          <w:color w:val="FF8100"/>
        </w:rPr>
        <w:t>OF</w:t>
      </w:r>
      <w:r>
        <w:rPr>
          <w:color w:val="FF8100"/>
          <w:spacing w:val="6"/>
        </w:rPr>
        <w:t> </w:t>
      </w:r>
      <w:r>
        <w:rPr>
          <w:color w:val="FF8100"/>
          <w:spacing w:val="-2"/>
        </w:rPr>
        <w:t>PRACTICE</w:t>
      </w:r>
    </w:p>
    <w:p>
      <w:pPr>
        <w:pStyle w:val="BodyText"/>
        <w:spacing w:before="27"/>
        <w:ind w:left="0"/>
        <w:rPr>
          <w:b/>
        </w:rPr>
      </w:pPr>
    </w:p>
    <w:p>
      <w:pPr>
        <w:pStyle w:val="BodyText"/>
        <w:spacing w:line="420" w:lineRule="auto"/>
        <w:ind w:right="6847"/>
      </w:pPr>
      <w:r>
        <w:rPr>
          <w:color w:val="6E6158"/>
        </w:rPr>
        <w:t>Financial </w:t>
      </w:r>
      <w:r>
        <w:rPr>
          <w:color w:val="6E6158"/>
        </w:rPr>
        <w:t>Restructuring Business &amp; Finance Business Litigation</w:t>
      </w:r>
    </w:p>
    <w:p>
      <w:pPr>
        <w:pStyle w:val="BodyText"/>
        <w:spacing w:line="427" w:lineRule="auto"/>
        <w:ind w:right="5572"/>
      </w:pPr>
      <w:r>
        <w:rPr>
          <w:color w:val="6E6158"/>
        </w:rPr>
        <w:t>Emerging Businesses &amp; </w:t>
      </w:r>
      <w:r>
        <w:rPr>
          <w:color w:val="6E6158"/>
        </w:rPr>
        <w:t>Technologies Real Estate</w:t>
      </w:r>
    </w:p>
    <w:p>
      <w:pPr>
        <w:pStyle w:val="BodyText"/>
        <w:spacing w:line="420" w:lineRule="auto"/>
        <w:ind w:right="6847"/>
      </w:pPr>
      <w:r>
        <w:rPr>
          <w:color w:val="6E6158"/>
        </w:rPr>
        <w:t>Mergers &amp; </w:t>
      </w:r>
      <w:r>
        <w:rPr>
          <w:color w:val="6E6158"/>
        </w:rPr>
        <w:t>Acquisitions Cannabis Business</w:t>
      </w:r>
    </w:p>
    <w:p>
      <w:pPr>
        <w:pStyle w:val="Heading1"/>
        <w:spacing w:before="280"/>
      </w:pPr>
      <w:r>
        <w:rPr>
          <w:color w:val="FF8100"/>
        </w:rPr>
        <w:t>AWARDS</w:t>
      </w:r>
      <w:r>
        <w:rPr>
          <w:color w:val="FF8100"/>
          <w:spacing w:val="8"/>
        </w:rPr>
        <w:t> </w:t>
      </w:r>
      <w:r>
        <w:rPr>
          <w:color w:val="FF8100"/>
        </w:rPr>
        <w:t>AND</w:t>
      </w:r>
      <w:r>
        <w:rPr>
          <w:color w:val="FF8100"/>
          <w:spacing w:val="9"/>
        </w:rPr>
        <w:t> </w:t>
      </w:r>
      <w:r>
        <w:rPr>
          <w:color w:val="FF8100"/>
          <w:spacing w:val="-2"/>
        </w:rPr>
        <w:t>HONORS</w:t>
      </w:r>
    </w:p>
    <w:p>
      <w:pPr>
        <w:pStyle w:val="Heading1"/>
        <w:spacing w:after="0"/>
        <w:sectPr>
          <w:type w:val="continuous"/>
          <w:pgSz w:w="12240" w:h="15840"/>
          <w:pgMar w:top="560" w:bottom="280" w:left="1440" w:right="1440"/>
        </w:sectPr>
      </w:pPr>
    </w:p>
    <w:p>
      <w:pPr>
        <w:pStyle w:val="BodyText"/>
        <w:spacing w:before="83"/>
      </w:pPr>
      <w:r>
        <w:rPr>
          <w:color w:val="6E6158"/>
        </w:rPr>
        <w:t>BTI</w:t>
      </w:r>
      <w:r>
        <w:rPr>
          <w:color w:val="6E6158"/>
          <w:spacing w:val="12"/>
        </w:rPr>
        <w:t> </w:t>
      </w:r>
      <w:r>
        <w:rPr>
          <w:color w:val="6E6158"/>
        </w:rPr>
        <w:t>Client</w:t>
      </w:r>
      <w:r>
        <w:rPr>
          <w:color w:val="6E6158"/>
          <w:spacing w:val="12"/>
        </w:rPr>
        <w:t> </w:t>
      </w:r>
      <w:r>
        <w:rPr>
          <w:color w:val="6E6158"/>
        </w:rPr>
        <w:t>Service</w:t>
      </w:r>
      <w:r>
        <w:rPr>
          <w:color w:val="6E6158"/>
          <w:spacing w:val="13"/>
        </w:rPr>
        <w:t> </w:t>
      </w:r>
      <w:r>
        <w:rPr>
          <w:color w:val="6E6158"/>
        </w:rPr>
        <w:t>All-Stars,</w:t>
      </w:r>
      <w:r>
        <w:rPr>
          <w:color w:val="6E6158"/>
          <w:spacing w:val="12"/>
        </w:rPr>
        <w:t> </w:t>
      </w:r>
      <w:r>
        <w:rPr>
          <w:color w:val="6E6158"/>
        </w:rPr>
        <w:t>BTI</w:t>
      </w:r>
      <w:r>
        <w:rPr>
          <w:color w:val="6E6158"/>
          <w:spacing w:val="12"/>
        </w:rPr>
        <w:t> </w:t>
      </w:r>
      <w:r>
        <w:rPr>
          <w:color w:val="6E6158"/>
        </w:rPr>
        <w:t>Consulting</w:t>
      </w:r>
      <w:r>
        <w:rPr>
          <w:color w:val="6E6158"/>
          <w:spacing w:val="13"/>
        </w:rPr>
        <w:t> </w:t>
      </w:r>
      <w:r>
        <w:rPr>
          <w:color w:val="6E6158"/>
        </w:rPr>
        <w:t>Group,</w:t>
      </w:r>
      <w:r>
        <w:rPr>
          <w:color w:val="6E6158"/>
          <w:spacing w:val="12"/>
        </w:rPr>
        <w:t> </w:t>
      </w:r>
      <w:r>
        <w:rPr>
          <w:color w:val="6E6158"/>
          <w:spacing w:val="-4"/>
        </w:rPr>
        <w:t>2026</w:t>
      </w:r>
    </w:p>
    <w:p>
      <w:pPr>
        <w:pStyle w:val="BodyText"/>
        <w:spacing w:line="302" w:lineRule="auto" w:before="174"/>
        <w:ind w:right="246"/>
      </w:pPr>
      <w:r>
        <w:rPr>
          <w:color w:val="6E6158"/>
        </w:rPr>
        <w:t>Best Lawyers in America® “Lawyer of the Year” – Bankruptcy and Creditor </w:t>
      </w:r>
      <w:r>
        <w:rPr>
          <w:color w:val="6E6158"/>
        </w:rPr>
        <w:t>Debtor Rights/Insolvency and Reorganization Law, San Diego, 2025</w:t>
      </w:r>
    </w:p>
    <w:p>
      <w:pPr>
        <w:pStyle w:val="BodyText"/>
        <w:spacing w:line="292" w:lineRule="auto" w:before="113"/>
        <w:ind w:right="246"/>
      </w:pPr>
      <w:r>
        <w:rPr>
          <w:color w:val="6E6158"/>
        </w:rPr>
        <w:t>Best Lawyers in America® “Lawyer of the Year” – Bankruptcy and Creditor </w:t>
      </w:r>
      <w:r>
        <w:rPr>
          <w:color w:val="6E6158"/>
        </w:rPr>
        <w:t>Debtor Rights/Insolvency and Reorganization Law, San Diego, 2023</w:t>
      </w:r>
    </w:p>
    <w:p>
      <w:pPr>
        <w:pStyle w:val="BodyText"/>
        <w:spacing w:line="302" w:lineRule="auto" w:before="123"/>
        <w:ind w:right="246"/>
      </w:pPr>
      <w:r>
        <w:rPr>
          <w:color w:val="6E6158"/>
        </w:rPr>
        <w:t>Best Lawyers in America® “Lawyer of the Year” – Bankruptcy and Creditor </w:t>
      </w:r>
      <w:r>
        <w:rPr>
          <w:color w:val="6E6158"/>
        </w:rPr>
        <w:t>Debtor Rights/Insolvency and Reorganization Law, 2020</w:t>
      </w:r>
    </w:p>
    <w:p>
      <w:pPr>
        <w:pStyle w:val="BodyText"/>
        <w:spacing w:before="113"/>
      </w:pPr>
      <w:r>
        <w:rPr>
          <w:color w:val="6E6158"/>
        </w:rPr>
        <w:t>Super</w:t>
      </w:r>
      <w:r>
        <w:rPr>
          <w:color w:val="6E6158"/>
          <w:spacing w:val="12"/>
        </w:rPr>
        <w:t> </w:t>
      </w:r>
      <w:r>
        <w:rPr>
          <w:color w:val="6E6158"/>
        </w:rPr>
        <w:t>Lawyer,</w:t>
      </w:r>
      <w:r>
        <w:rPr>
          <w:color w:val="6E6158"/>
          <w:spacing w:val="13"/>
        </w:rPr>
        <w:t> </w:t>
      </w:r>
      <w:r>
        <w:rPr>
          <w:color w:val="6E6158"/>
        </w:rPr>
        <w:t>Bankruptcy,</w:t>
      </w:r>
      <w:r>
        <w:rPr>
          <w:color w:val="6E6158"/>
          <w:spacing w:val="13"/>
        </w:rPr>
        <w:t> </w:t>
      </w:r>
      <w:r>
        <w:rPr>
          <w:color w:val="6E6158"/>
        </w:rPr>
        <w:t>2020-</w:t>
      </w:r>
      <w:r>
        <w:rPr>
          <w:color w:val="6E6158"/>
          <w:spacing w:val="-4"/>
        </w:rPr>
        <w:t>2026</w:t>
      </w:r>
    </w:p>
    <w:p>
      <w:pPr>
        <w:pStyle w:val="BodyText"/>
        <w:spacing w:before="174"/>
      </w:pPr>
      <w:r>
        <w:rPr>
          <w:color w:val="6E6158"/>
        </w:rPr>
        <w:t>San</w:t>
      </w:r>
      <w:r>
        <w:rPr>
          <w:color w:val="6E6158"/>
          <w:spacing w:val="12"/>
        </w:rPr>
        <w:t> </w:t>
      </w:r>
      <w:r>
        <w:rPr>
          <w:color w:val="6E6158"/>
        </w:rPr>
        <w:t>Diego</w:t>
      </w:r>
      <w:r>
        <w:rPr>
          <w:color w:val="6E6158"/>
          <w:spacing w:val="12"/>
        </w:rPr>
        <w:t> </w:t>
      </w:r>
      <w:r>
        <w:rPr>
          <w:color w:val="6E6158"/>
        </w:rPr>
        <w:t>Daily</w:t>
      </w:r>
      <w:r>
        <w:rPr>
          <w:color w:val="6E6158"/>
          <w:spacing w:val="13"/>
        </w:rPr>
        <w:t> </w:t>
      </w:r>
      <w:r>
        <w:rPr>
          <w:color w:val="6E6158"/>
        </w:rPr>
        <w:t>Transcript’s</w:t>
      </w:r>
      <w:r>
        <w:rPr>
          <w:color w:val="6E6158"/>
          <w:spacing w:val="12"/>
        </w:rPr>
        <w:t> </w:t>
      </w:r>
      <w:r>
        <w:rPr>
          <w:color w:val="6E6158"/>
        </w:rPr>
        <w:t>2013</w:t>
      </w:r>
      <w:r>
        <w:rPr>
          <w:color w:val="6E6158"/>
          <w:spacing w:val="13"/>
        </w:rPr>
        <w:t> </w:t>
      </w:r>
      <w:r>
        <w:rPr>
          <w:color w:val="6E6158"/>
        </w:rPr>
        <w:t>Top</w:t>
      </w:r>
      <w:r>
        <w:rPr>
          <w:color w:val="6E6158"/>
          <w:spacing w:val="12"/>
        </w:rPr>
        <w:t> </w:t>
      </w:r>
      <w:r>
        <w:rPr>
          <w:color w:val="6E6158"/>
        </w:rPr>
        <w:t>Attorney</w:t>
      </w:r>
      <w:r>
        <w:rPr>
          <w:color w:val="6E6158"/>
          <w:spacing w:val="13"/>
        </w:rPr>
        <w:t> </w:t>
      </w:r>
      <w:r>
        <w:rPr>
          <w:color w:val="6E6158"/>
        </w:rPr>
        <w:t>Nominee,</w:t>
      </w:r>
      <w:r>
        <w:rPr>
          <w:color w:val="6E6158"/>
          <w:spacing w:val="12"/>
        </w:rPr>
        <w:t> </w:t>
      </w:r>
      <w:r>
        <w:rPr>
          <w:color w:val="6E6158"/>
        </w:rPr>
        <w:t>Corporate</w:t>
      </w:r>
      <w:r>
        <w:rPr>
          <w:color w:val="6E6158"/>
          <w:spacing w:val="13"/>
        </w:rPr>
        <w:t> </w:t>
      </w:r>
      <w:r>
        <w:rPr>
          <w:color w:val="6E6158"/>
          <w:spacing w:val="-2"/>
        </w:rPr>
        <w:t>Transactional</w:t>
      </w:r>
    </w:p>
    <w:p>
      <w:pPr>
        <w:pStyle w:val="BodyText"/>
        <w:spacing w:before="163"/>
        <w:ind w:left="0"/>
        <w:rPr>
          <w:sz w:val="24"/>
        </w:rPr>
      </w:pPr>
    </w:p>
    <w:p>
      <w:pPr>
        <w:pStyle w:val="Heading1"/>
      </w:pPr>
      <w:r>
        <w:rPr>
          <w:color w:val="FF8100"/>
        </w:rPr>
        <w:t>REPRESENTATIVE</w:t>
      </w:r>
      <w:r>
        <w:rPr>
          <w:color w:val="FF8100"/>
          <w:spacing w:val="19"/>
        </w:rPr>
        <w:t> </w:t>
      </w:r>
      <w:r>
        <w:rPr>
          <w:color w:val="FF8100"/>
          <w:spacing w:val="-2"/>
        </w:rPr>
        <w:t>MATTERS</w:t>
      </w:r>
    </w:p>
    <w:p>
      <w:pPr>
        <w:pStyle w:val="Heading2"/>
      </w:pPr>
      <w:r>
        <w:rPr>
          <w:color w:val="6E6158"/>
        </w:rPr>
        <w:t>Insolvency</w:t>
      </w:r>
      <w:r>
        <w:rPr>
          <w:color w:val="6E6158"/>
          <w:spacing w:val="17"/>
        </w:rPr>
        <w:t> </w:t>
      </w:r>
      <w:r>
        <w:rPr>
          <w:color w:val="6E6158"/>
        </w:rPr>
        <w:t>and</w:t>
      </w:r>
      <w:r>
        <w:rPr>
          <w:color w:val="6E6158"/>
          <w:spacing w:val="18"/>
        </w:rPr>
        <w:t> </w:t>
      </w:r>
      <w:r>
        <w:rPr>
          <w:color w:val="6E6158"/>
        </w:rPr>
        <w:t>Commercial</w:t>
      </w:r>
      <w:r>
        <w:rPr>
          <w:color w:val="6E6158"/>
          <w:spacing w:val="18"/>
        </w:rPr>
        <w:t> </w:t>
      </w:r>
      <w:r>
        <w:rPr>
          <w:color w:val="6E6158"/>
          <w:spacing w:val="-2"/>
        </w:rPr>
        <w:t>Bankruptcy</w:t>
      </w:r>
    </w:p>
    <w:p>
      <w:pPr>
        <w:pStyle w:val="BodyText"/>
        <w:spacing w:before="22"/>
        <w:ind w:left="0"/>
        <w:rPr>
          <w:b/>
        </w:rPr>
      </w:pPr>
    </w:p>
    <w:p>
      <w:pPr>
        <w:pStyle w:val="BodyText"/>
        <w:spacing w:line="292" w:lineRule="auto"/>
        <w:ind w:right="246"/>
      </w:pPr>
      <w:r>
        <w:rPr>
          <w:color w:val="6E6158"/>
        </w:rPr>
        <w:t>Represented the Receiver in a state court receivership involving a historic building in </w:t>
      </w:r>
      <w:r>
        <w:rPr>
          <w:color w:val="6E6158"/>
        </w:rPr>
        <w:t>downtown</w:t>
      </w:r>
      <w:r>
        <w:rPr>
          <w:color w:val="6E6158"/>
          <w:spacing w:val="40"/>
        </w:rPr>
        <w:t> </w:t>
      </w:r>
      <w:r>
        <w:rPr>
          <w:color w:val="6E6158"/>
        </w:rPr>
        <w:t>San Francisco burdened with a complex ownership structure, outdated, CC&amp;R’s, and financial</w:t>
      </w:r>
      <w:r>
        <w:rPr>
          <w:color w:val="6E6158"/>
          <w:spacing w:val="40"/>
        </w:rPr>
        <w:t> </w:t>
      </w:r>
      <w:r>
        <w:rPr>
          <w:color w:val="6E6158"/>
        </w:rPr>
        <w:t>distress brought on by both.</w:t>
      </w:r>
    </w:p>
    <w:p>
      <w:pPr>
        <w:pStyle w:val="BodyText"/>
        <w:spacing w:line="292" w:lineRule="auto" w:before="132"/>
        <w:ind w:right="588"/>
      </w:pPr>
      <w:r>
        <w:rPr>
          <w:color w:val="6E6158"/>
        </w:rPr>
        <w:t>Represented a private lender in the jointly-administered Chapter 11 cases of a developer </w:t>
      </w:r>
      <w:r>
        <w:rPr>
          <w:color w:val="6E6158"/>
        </w:rPr>
        <w:t>of</w:t>
      </w:r>
      <w:r>
        <w:rPr>
          <w:color w:val="6E6158"/>
          <w:spacing w:val="40"/>
        </w:rPr>
        <w:t> </w:t>
      </w:r>
      <w:r>
        <w:rPr>
          <w:color w:val="6E6158"/>
        </w:rPr>
        <w:t>ultra-high end homes.</w:t>
      </w:r>
    </w:p>
    <w:p>
      <w:pPr>
        <w:pStyle w:val="BodyText"/>
        <w:spacing w:line="292" w:lineRule="auto" w:before="123"/>
        <w:ind w:right="588"/>
      </w:pPr>
      <w:r>
        <w:rPr>
          <w:color w:val="6E6158"/>
        </w:rPr>
        <w:t>Represented the Assignee in assignment for the benefit of creditors of a large online retailer</w:t>
      </w:r>
      <w:r>
        <w:rPr>
          <w:color w:val="6E6158"/>
          <w:spacing w:val="40"/>
        </w:rPr>
        <w:t> </w:t>
      </w:r>
      <w:r>
        <w:rPr>
          <w:color w:val="6E6158"/>
        </w:rPr>
        <w:t>(Zulily)</w:t>
      </w:r>
      <w:r>
        <w:rPr>
          <w:color w:val="6E6158"/>
          <w:spacing w:val="31"/>
        </w:rPr>
        <w:t> </w:t>
      </w:r>
      <w:r>
        <w:rPr>
          <w:color w:val="6E6158"/>
        </w:rPr>
        <w:t>which</w:t>
      </w:r>
      <w:r>
        <w:rPr>
          <w:color w:val="6E6158"/>
          <w:spacing w:val="31"/>
        </w:rPr>
        <w:t> </w:t>
      </w:r>
      <w:r>
        <w:rPr>
          <w:color w:val="6E6158"/>
        </w:rPr>
        <w:t>involved</w:t>
      </w:r>
      <w:r>
        <w:rPr>
          <w:color w:val="6E6158"/>
          <w:spacing w:val="31"/>
        </w:rPr>
        <w:t> </w:t>
      </w:r>
      <w:r>
        <w:rPr>
          <w:color w:val="6E6158"/>
        </w:rPr>
        <w:t>multiple</w:t>
      </w:r>
      <w:r>
        <w:rPr>
          <w:color w:val="6E6158"/>
          <w:spacing w:val="31"/>
        </w:rPr>
        <w:t> </w:t>
      </w:r>
      <w:r>
        <w:rPr>
          <w:color w:val="6E6158"/>
        </w:rPr>
        <w:t>asset</w:t>
      </w:r>
      <w:r>
        <w:rPr>
          <w:color w:val="6E6158"/>
          <w:spacing w:val="31"/>
        </w:rPr>
        <w:t> </w:t>
      </w:r>
      <w:r>
        <w:rPr>
          <w:color w:val="6E6158"/>
        </w:rPr>
        <w:t>sales</w:t>
      </w:r>
      <w:r>
        <w:rPr>
          <w:color w:val="6E6158"/>
          <w:spacing w:val="31"/>
        </w:rPr>
        <w:t> </w:t>
      </w:r>
      <w:r>
        <w:rPr>
          <w:color w:val="6E6158"/>
        </w:rPr>
        <w:t>and</w:t>
      </w:r>
      <w:r>
        <w:rPr>
          <w:color w:val="6E6158"/>
          <w:spacing w:val="31"/>
        </w:rPr>
        <w:t> </w:t>
      </w:r>
      <w:r>
        <w:rPr>
          <w:color w:val="6E6158"/>
        </w:rPr>
        <w:t>combined</w:t>
      </w:r>
      <w:r>
        <w:rPr>
          <w:color w:val="6E6158"/>
          <w:spacing w:val="31"/>
        </w:rPr>
        <w:t> </w:t>
      </w:r>
      <w:r>
        <w:rPr>
          <w:color w:val="6E6158"/>
        </w:rPr>
        <w:t>debt</w:t>
      </w:r>
      <w:r>
        <w:rPr>
          <w:color w:val="6E6158"/>
          <w:spacing w:val="31"/>
        </w:rPr>
        <w:t> </w:t>
      </w:r>
      <w:r>
        <w:rPr>
          <w:color w:val="6E6158"/>
        </w:rPr>
        <w:t>in</w:t>
      </w:r>
      <w:r>
        <w:rPr>
          <w:color w:val="6E6158"/>
          <w:spacing w:val="31"/>
        </w:rPr>
        <w:t> </w:t>
      </w:r>
      <w:r>
        <w:rPr>
          <w:color w:val="6E6158"/>
        </w:rPr>
        <w:t>excess</w:t>
      </w:r>
      <w:r>
        <w:rPr>
          <w:color w:val="6E6158"/>
          <w:spacing w:val="31"/>
        </w:rPr>
        <w:t> </w:t>
      </w:r>
      <w:r>
        <w:rPr>
          <w:color w:val="6E6158"/>
        </w:rPr>
        <w:t>of</w:t>
      </w:r>
      <w:r>
        <w:rPr>
          <w:color w:val="6E6158"/>
          <w:spacing w:val="31"/>
        </w:rPr>
        <w:t> </w:t>
      </w:r>
      <w:r>
        <w:rPr>
          <w:color w:val="6E6158"/>
        </w:rPr>
        <w:t>$100,000,000.</w:t>
      </w:r>
    </w:p>
    <w:p>
      <w:pPr>
        <w:pStyle w:val="BodyText"/>
        <w:spacing w:line="420" w:lineRule="auto" w:before="132"/>
      </w:pPr>
      <w:r>
        <w:rPr>
          <w:color w:val="6E6158"/>
        </w:rPr>
        <w:t>Represented a Receiver in completing the construction of a partially-built senior living </w:t>
      </w:r>
      <w:r>
        <w:rPr>
          <w:color w:val="6E6158"/>
        </w:rPr>
        <w:t>facility.</w:t>
      </w:r>
      <w:r>
        <w:rPr>
          <w:color w:val="6E6158"/>
          <w:spacing w:val="40"/>
        </w:rPr>
        <w:t> </w:t>
      </w:r>
      <w:r>
        <w:rPr>
          <w:color w:val="6E6158"/>
        </w:rPr>
        <w:t>Represented a nursing home owner-operator in its Chapter 11 bankruptcy sale.</w:t>
      </w:r>
    </w:p>
    <w:p>
      <w:pPr>
        <w:pStyle w:val="BodyText"/>
        <w:spacing w:line="292" w:lineRule="auto"/>
        <w:ind w:right="246"/>
      </w:pPr>
      <w:r>
        <w:rPr>
          <w:color w:val="6E6158"/>
        </w:rPr>
        <w:t>Represented the buyer in its purchase of LLC membership interests holding nationally </w:t>
      </w:r>
      <w:r>
        <w:rPr>
          <w:color w:val="6E6158"/>
        </w:rPr>
        <w:t>franchised</w:t>
      </w:r>
      <w:r>
        <w:rPr>
          <w:color w:val="6E6158"/>
          <w:spacing w:val="40"/>
        </w:rPr>
        <w:t> </w:t>
      </w:r>
      <w:r>
        <w:rPr>
          <w:color w:val="6E6158"/>
        </w:rPr>
        <w:t>gym facilities.</w:t>
      </w:r>
    </w:p>
    <w:p>
      <w:pPr>
        <w:pStyle w:val="BodyText"/>
        <w:spacing w:line="292" w:lineRule="auto" w:before="130"/>
      </w:pPr>
      <w:r>
        <w:rPr>
          <w:color w:val="6E6158"/>
        </w:rPr>
        <w:t>Represented a federal equity receiver in a regulatory receivership brought by the Federal Trade</w:t>
      </w:r>
      <w:r>
        <w:rPr>
          <w:color w:val="6E6158"/>
          <w:spacing w:val="40"/>
        </w:rPr>
        <w:t> </w:t>
      </w:r>
      <w:r>
        <w:rPr>
          <w:color w:val="6E6158"/>
        </w:rPr>
        <w:t>Commission against a group of online automation companies.</w:t>
      </w:r>
    </w:p>
    <w:p>
      <w:pPr>
        <w:pStyle w:val="BodyText"/>
        <w:spacing w:line="292" w:lineRule="auto" w:before="123"/>
        <w:ind w:right="347"/>
      </w:pPr>
      <w:r>
        <w:rPr>
          <w:color w:val="6E6158"/>
        </w:rPr>
        <w:t>Represented an automated vehicle technology company in its sale through an Assignment </w:t>
      </w:r>
      <w:r>
        <w:rPr>
          <w:color w:val="6E6158"/>
        </w:rPr>
        <w:t>for</w:t>
      </w:r>
      <w:r>
        <w:rPr>
          <w:color w:val="6E6158"/>
          <w:spacing w:val="40"/>
        </w:rPr>
        <w:t> </w:t>
      </w:r>
      <w:r>
        <w:rPr>
          <w:color w:val="6E6158"/>
        </w:rPr>
        <w:t>the Benefit of Creditors.</w:t>
      </w:r>
    </w:p>
    <w:p>
      <w:pPr>
        <w:pStyle w:val="BodyText"/>
        <w:spacing w:line="292" w:lineRule="auto" w:before="131"/>
      </w:pPr>
      <w:r>
        <w:rPr>
          <w:color w:val="6E6158"/>
        </w:rPr>
        <w:t>Represented a Top 50 national craft brewer (Modern Times) in the sale of its business as a going</w:t>
      </w:r>
      <w:r>
        <w:rPr>
          <w:color w:val="6E6158"/>
          <w:spacing w:val="40"/>
        </w:rPr>
        <w:t> </w:t>
      </w:r>
      <w:r>
        <w:rPr>
          <w:color w:val="6E6158"/>
        </w:rPr>
        <w:t>concern through a consensual receivership.</w:t>
      </w:r>
    </w:p>
    <w:p>
      <w:pPr>
        <w:pStyle w:val="BodyText"/>
        <w:spacing w:line="302" w:lineRule="auto" w:before="123"/>
        <w:ind w:right="129"/>
      </w:pPr>
      <w:r>
        <w:rPr>
          <w:color w:val="6E6158"/>
        </w:rPr>
        <w:t>Represented an IOT network technology company in its successful reorganization under </w:t>
      </w:r>
      <w:r>
        <w:rPr>
          <w:color w:val="6E6158"/>
        </w:rPr>
        <w:t>Chapter</w:t>
      </w:r>
      <w:r>
        <w:rPr>
          <w:color w:val="6E6158"/>
          <w:spacing w:val="40"/>
        </w:rPr>
        <w:t> </w:t>
      </w:r>
      <w:r>
        <w:rPr>
          <w:color w:val="6E6158"/>
          <w:spacing w:val="-4"/>
        </w:rPr>
        <w:t>11.</w:t>
      </w:r>
    </w:p>
    <w:p>
      <w:pPr>
        <w:pStyle w:val="BodyText"/>
        <w:spacing w:line="292" w:lineRule="auto" w:before="113"/>
        <w:ind w:right="246"/>
      </w:pPr>
      <w:r>
        <w:rPr>
          <w:color w:val="6E6158"/>
        </w:rPr>
        <w:t>Represented the secured lender in an Article 9 foreclosure of its collateral under a loan facility to</w:t>
      </w:r>
      <w:r>
        <w:rPr>
          <w:color w:val="6E6158"/>
          <w:spacing w:val="40"/>
        </w:rPr>
        <w:t> </w:t>
      </w:r>
      <w:r>
        <w:rPr>
          <w:color w:val="6E6158"/>
        </w:rPr>
        <w:t>an international restaurant organization.</w:t>
      </w:r>
    </w:p>
    <w:p>
      <w:pPr>
        <w:pStyle w:val="BodyText"/>
        <w:spacing w:line="302" w:lineRule="auto" w:before="124"/>
        <w:ind w:right="246"/>
      </w:pPr>
      <w:r>
        <w:rPr>
          <w:color w:val="6E6158"/>
        </w:rPr>
        <w:t>Represented a Receiver appointed by the Delaware Chancery Court in the receivership of a</w:t>
      </w:r>
      <w:r>
        <w:rPr>
          <w:color w:val="6E6158"/>
          <w:spacing w:val="40"/>
        </w:rPr>
        <w:t> </w:t>
      </w:r>
      <w:r>
        <w:rPr>
          <w:color w:val="6E6158"/>
        </w:rPr>
        <w:t>genetic testing company.</w:t>
      </w:r>
    </w:p>
    <w:p>
      <w:pPr>
        <w:pStyle w:val="BodyText"/>
        <w:spacing w:line="292" w:lineRule="auto" w:before="112"/>
      </w:pPr>
      <w:r>
        <w:rPr>
          <w:color w:val="6E6158"/>
        </w:rPr>
        <w:t>Represented the first Chapter 11 debtor to confirm a Subchapter V Small Business Reorganization</w:t>
      </w:r>
      <w:r>
        <w:rPr>
          <w:color w:val="6E6158"/>
          <w:spacing w:val="40"/>
        </w:rPr>
        <w:t> </w:t>
      </w:r>
      <w:r>
        <w:rPr>
          <w:color w:val="6E6158"/>
        </w:rPr>
        <w:t>plan in the Southern District of California.</w:t>
      </w:r>
    </w:p>
    <w:p>
      <w:pPr>
        <w:pStyle w:val="BodyText"/>
        <w:spacing w:line="302" w:lineRule="auto" w:before="124"/>
        <w:ind w:right="246"/>
      </w:pPr>
      <w:r>
        <w:rPr>
          <w:color w:val="6E6158"/>
        </w:rPr>
        <w:t>Represented the sellers of a local brewery in a workout with the buyer involving carry-back</w:t>
      </w:r>
      <w:r>
        <w:rPr>
          <w:color w:val="6E6158"/>
          <w:spacing w:val="40"/>
        </w:rPr>
        <w:t> </w:t>
      </w:r>
      <w:r>
        <w:rPr>
          <w:color w:val="6E6158"/>
        </w:rPr>
        <w:t>financing, avoiding an Article 9 foreclosure.</w:t>
      </w:r>
    </w:p>
    <w:p>
      <w:pPr>
        <w:pStyle w:val="BodyText"/>
        <w:spacing w:line="292" w:lineRule="auto" w:before="112"/>
        <w:ind w:right="246"/>
      </w:pPr>
      <w:r>
        <w:rPr>
          <w:color w:val="6E6158"/>
        </w:rPr>
        <w:t>Represented a satellite communication company in connection with its efforts to </w:t>
      </w:r>
      <w:r>
        <w:rPr>
          <w:color w:val="6E6158"/>
        </w:rPr>
        <w:t>“bankruptcy</w:t>
      </w:r>
      <w:r>
        <w:rPr>
          <w:color w:val="6E6158"/>
          <w:spacing w:val="40"/>
        </w:rPr>
        <w:t> </w:t>
      </w:r>
      <w:r>
        <w:rPr>
          <w:color w:val="6E6158"/>
        </w:rPr>
        <w:t>proof”</w:t>
      </w:r>
      <w:r>
        <w:rPr>
          <w:color w:val="6E6158"/>
          <w:spacing w:val="31"/>
        </w:rPr>
        <w:t> </w:t>
      </w:r>
      <w:r>
        <w:rPr>
          <w:color w:val="6E6158"/>
        </w:rPr>
        <w:t>various</w:t>
      </w:r>
      <w:r>
        <w:rPr>
          <w:color w:val="6E6158"/>
          <w:spacing w:val="31"/>
        </w:rPr>
        <w:t> </w:t>
      </w:r>
      <w:r>
        <w:rPr>
          <w:color w:val="6E6158"/>
        </w:rPr>
        <w:t>transactions</w:t>
      </w:r>
      <w:r>
        <w:rPr>
          <w:color w:val="6E6158"/>
          <w:spacing w:val="31"/>
        </w:rPr>
        <w:t> </w:t>
      </w:r>
      <w:r>
        <w:rPr>
          <w:color w:val="6E6158"/>
        </w:rPr>
        <w:t>involving</w:t>
      </w:r>
      <w:r>
        <w:rPr>
          <w:color w:val="6E6158"/>
          <w:spacing w:val="31"/>
        </w:rPr>
        <w:t> </w:t>
      </w:r>
      <w:r>
        <w:rPr>
          <w:color w:val="6E6158"/>
        </w:rPr>
        <w:t>dark</w:t>
      </w:r>
      <w:r>
        <w:rPr>
          <w:color w:val="6E6158"/>
          <w:spacing w:val="31"/>
        </w:rPr>
        <w:t> </w:t>
      </w:r>
      <w:r>
        <w:rPr>
          <w:color w:val="6E6158"/>
        </w:rPr>
        <w:t>fiber</w:t>
      </w:r>
      <w:r>
        <w:rPr>
          <w:color w:val="6E6158"/>
          <w:spacing w:val="31"/>
        </w:rPr>
        <w:t> </w:t>
      </w:r>
      <w:r>
        <w:rPr>
          <w:color w:val="6E6158"/>
        </w:rPr>
        <w:t>being</w:t>
      </w:r>
      <w:r>
        <w:rPr>
          <w:color w:val="6E6158"/>
          <w:spacing w:val="31"/>
        </w:rPr>
        <w:t> </w:t>
      </w:r>
      <w:r>
        <w:rPr>
          <w:color w:val="6E6158"/>
        </w:rPr>
        <w:t>used</w:t>
      </w:r>
      <w:r>
        <w:rPr>
          <w:color w:val="6E6158"/>
          <w:spacing w:val="31"/>
        </w:rPr>
        <w:t> </w:t>
      </w:r>
      <w:r>
        <w:rPr>
          <w:color w:val="6E6158"/>
        </w:rPr>
        <w:t>to</w:t>
      </w:r>
      <w:r>
        <w:rPr>
          <w:color w:val="6E6158"/>
          <w:spacing w:val="31"/>
        </w:rPr>
        <w:t> </w:t>
      </w:r>
      <w:r>
        <w:rPr>
          <w:color w:val="6E6158"/>
        </w:rPr>
        <w:t>build</w:t>
      </w:r>
      <w:r>
        <w:rPr>
          <w:color w:val="6E6158"/>
          <w:spacing w:val="31"/>
        </w:rPr>
        <w:t> </w:t>
      </w:r>
      <w:r>
        <w:rPr>
          <w:color w:val="6E6158"/>
        </w:rPr>
        <w:t>a</w:t>
      </w:r>
      <w:r>
        <w:rPr>
          <w:color w:val="6E6158"/>
          <w:spacing w:val="31"/>
        </w:rPr>
        <w:t> </w:t>
      </w:r>
      <w:r>
        <w:rPr>
          <w:color w:val="6E6158"/>
        </w:rPr>
        <w:t>nationwide</w:t>
      </w:r>
      <w:r>
        <w:rPr>
          <w:color w:val="6E6158"/>
          <w:spacing w:val="31"/>
        </w:rPr>
        <w:t> </w:t>
      </w:r>
      <w:r>
        <w:rPr>
          <w:color w:val="6E6158"/>
        </w:rPr>
        <w:t>network.</w:t>
      </w:r>
    </w:p>
    <w:p>
      <w:pPr>
        <w:pStyle w:val="BodyText"/>
        <w:spacing w:after="0" w:line="292" w:lineRule="auto"/>
        <w:sectPr>
          <w:pgSz w:w="12240" w:h="15840"/>
          <w:pgMar w:top="500" w:bottom="280" w:left="1440" w:right="1440"/>
        </w:sectPr>
      </w:pPr>
    </w:p>
    <w:p>
      <w:pPr>
        <w:pStyle w:val="BodyText"/>
        <w:spacing w:line="292" w:lineRule="auto" w:before="83"/>
      </w:pPr>
      <w:r>
        <w:rPr>
          <w:color w:val="6E6158"/>
        </w:rPr>
        <w:t>Represented the Assignee of a franchised organic snack food vending machine company in </w:t>
      </w:r>
      <w:r>
        <w:rPr>
          <w:color w:val="6E6158"/>
        </w:rPr>
        <w:t>its</w:t>
      </w:r>
      <w:r>
        <w:rPr>
          <w:color w:val="6E6158"/>
          <w:spacing w:val="40"/>
        </w:rPr>
        <w:t> </w:t>
      </w:r>
      <w:r>
        <w:rPr>
          <w:color w:val="6E6158"/>
        </w:rPr>
        <w:t>liquidation through an assignment for the benefit of its creditors.</w:t>
      </w:r>
    </w:p>
    <w:p>
      <w:pPr>
        <w:pStyle w:val="BodyText"/>
        <w:spacing w:line="292" w:lineRule="auto" w:before="132"/>
      </w:pPr>
      <w:r>
        <w:rPr>
          <w:color w:val="6E6158"/>
        </w:rPr>
        <w:t>Represented the Assignee of a cosmetics company in its sale to a private equity fund through an</w:t>
      </w:r>
      <w:r>
        <w:rPr>
          <w:color w:val="6E6158"/>
          <w:spacing w:val="40"/>
        </w:rPr>
        <w:t> </w:t>
      </w:r>
      <w:r>
        <w:rPr>
          <w:color w:val="6E6158"/>
        </w:rPr>
        <w:t>assignment for the benefits of its creditors.</w:t>
      </w:r>
    </w:p>
    <w:p>
      <w:pPr>
        <w:pStyle w:val="BodyText"/>
        <w:spacing w:before="123"/>
      </w:pPr>
      <w:r>
        <w:rPr>
          <w:color w:val="6E6158"/>
        </w:rPr>
        <w:t>Represented</w:t>
      </w:r>
      <w:r>
        <w:rPr>
          <w:color w:val="6E6158"/>
          <w:spacing w:val="14"/>
        </w:rPr>
        <w:t> </w:t>
      </w:r>
      <w:r>
        <w:rPr>
          <w:color w:val="6E6158"/>
        </w:rPr>
        <w:t>a</w:t>
      </w:r>
      <w:r>
        <w:rPr>
          <w:color w:val="6E6158"/>
          <w:spacing w:val="13"/>
        </w:rPr>
        <w:t> </w:t>
      </w:r>
      <w:r>
        <w:rPr>
          <w:color w:val="6E6158"/>
        </w:rPr>
        <w:t>State</w:t>
      </w:r>
      <w:r>
        <w:rPr>
          <w:color w:val="6E6158"/>
          <w:spacing w:val="13"/>
        </w:rPr>
        <w:t> </w:t>
      </w:r>
      <w:r>
        <w:rPr>
          <w:color w:val="6E6158"/>
        </w:rPr>
        <w:t>Court</w:t>
      </w:r>
      <w:r>
        <w:rPr>
          <w:color w:val="6E6158"/>
          <w:spacing w:val="13"/>
        </w:rPr>
        <w:t> </w:t>
      </w:r>
      <w:r>
        <w:rPr>
          <w:color w:val="6E6158"/>
        </w:rPr>
        <w:t>Receiver</w:t>
      </w:r>
      <w:r>
        <w:rPr>
          <w:color w:val="6E6158"/>
          <w:spacing w:val="13"/>
        </w:rPr>
        <w:t> </w:t>
      </w:r>
      <w:r>
        <w:rPr>
          <w:color w:val="6E6158"/>
        </w:rPr>
        <w:t>operating</w:t>
      </w:r>
      <w:r>
        <w:rPr>
          <w:color w:val="6E6158"/>
          <w:spacing w:val="13"/>
        </w:rPr>
        <w:t> </w:t>
      </w:r>
      <w:r>
        <w:rPr>
          <w:color w:val="6E6158"/>
        </w:rPr>
        <w:t>Burger</w:t>
      </w:r>
      <w:r>
        <w:rPr>
          <w:color w:val="6E6158"/>
          <w:spacing w:val="13"/>
        </w:rPr>
        <w:t> </w:t>
      </w:r>
      <w:r>
        <w:rPr>
          <w:color w:val="6E6158"/>
        </w:rPr>
        <w:t>King</w:t>
      </w:r>
      <w:r>
        <w:rPr>
          <w:color w:val="6E6158"/>
          <w:spacing w:val="13"/>
        </w:rPr>
        <w:t> </w:t>
      </w:r>
      <w:r>
        <w:rPr>
          <w:color w:val="6E6158"/>
        </w:rPr>
        <w:t>franchises</w:t>
      </w:r>
      <w:r>
        <w:rPr>
          <w:color w:val="6E6158"/>
          <w:spacing w:val="13"/>
        </w:rPr>
        <w:t> </w:t>
      </w:r>
      <w:r>
        <w:rPr>
          <w:color w:val="6E6158"/>
        </w:rPr>
        <w:t>in</w:t>
      </w:r>
      <w:r>
        <w:rPr>
          <w:color w:val="6E6158"/>
          <w:spacing w:val="13"/>
        </w:rPr>
        <w:t> </w:t>
      </w:r>
      <w:r>
        <w:rPr>
          <w:color w:val="6E6158"/>
          <w:spacing w:val="-2"/>
        </w:rPr>
        <w:t>litigation.</w:t>
      </w:r>
    </w:p>
    <w:p>
      <w:pPr>
        <w:pStyle w:val="BodyText"/>
        <w:spacing w:line="302" w:lineRule="auto" w:before="174"/>
      </w:pPr>
      <w:r>
        <w:rPr>
          <w:color w:val="6E6158"/>
        </w:rPr>
        <w:t>Represented the Creditors Committee in the Chapter 11 reorganization of a medical </w:t>
      </w:r>
      <w:r>
        <w:rPr>
          <w:color w:val="6E6158"/>
        </w:rPr>
        <w:t>device</w:t>
      </w:r>
      <w:r>
        <w:rPr>
          <w:color w:val="6E6158"/>
          <w:spacing w:val="40"/>
        </w:rPr>
        <w:t> </w:t>
      </w:r>
      <w:r>
        <w:rPr>
          <w:color w:val="6E6158"/>
          <w:spacing w:val="-2"/>
        </w:rPr>
        <w:t>manufacturer.</w:t>
      </w:r>
    </w:p>
    <w:p>
      <w:pPr>
        <w:pStyle w:val="BodyText"/>
        <w:spacing w:line="292" w:lineRule="auto" w:before="113"/>
      </w:pPr>
      <w:r>
        <w:rPr>
          <w:color w:val="6E6158"/>
        </w:rPr>
        <w:t>Represented a social media content arbitrage company in connection with the Chapter </w:t>
      </w:r>
      <w:r>
        <w:rPr>
          <w:color w:val="6E6158"/>
        </w:rPr>
        <w:t>7</w:t>
      </w:r>
      <w:r>
        <w:rPr>
          <w:color w:val="6E6158"/>
          <w:spacing w:val="40"/>
        </w:rPr>
        <w:t> </w:t>
      </w:r>
      <w:r>
        <w:rPr>
          <w:color w:val="6E6158"/>
        </w:rPr>
        <w:t>bankruptcy of its principal.</w:t>
      </w:r>
    </w:p>
    <w:p>
      <w:pPr>
        <w:pStyle w:val="BodyText"/>
        <w:spacing w:before="123"/>
      </w:pPr>
      <w:r>
        <w:rPr>
          <w:color w:val="6E6158"/>
        </w:rPr>
        <w:t>Represented</w:t>
      </w:r>
      <w:r>
        <w:rPr>
          <w:color w:val="6E6158"/>
          <w:spacing w:val="11"/>
        </w:rPr>
        <w:t> </w:t>
      </w:r>
      <w:r>
        <w:rPr>
          <w:color w:val="6E6158"/>
        </w:rPr>
        <w:t>the</w:t>
      </w:r>
      <w:r>
        <w:rPr>
          <w:color w:val="6E6158"/>
          <w:spacing w:val="11"/>
        </w:rPr>
        <w:t> </w:t>
      </w:r>
      <w:r>
        <w:rPr>
          <w:color w:val="6E6158"/>
        </w:rPr>
        <w:t>lender</w:t>
      </w:r>
      <w:r>
        <w:rPr>
          <w:color w:val="6E6158"/>
          <w:spacing w:val="12"/>
        </w:rPr>
        <w:t> </w:t>
      </w:r>
      <w:r>
        <w:rPr>
          <w:color w:val="6E6158"/>
        </w:rPr>
        <w:t>in</w:t>
      </w:r>
      <w:r>
        <w:rPr>
          <w:color w:val="6E6158"/>
          <w:spacing w:val="11"/>
        </w:rPr>
        <w:t> </w:t>
      </w:r>
      <w:r>
        <w:rPr>
          <w:color w:val="6E6158"/>
        </w:rPr>
        <w:t>the</w:t>
      </w:r>
      <w:r>
        <w:rPr>
          <w:color w:val="6E6158"/>
          <w:spacing w:val="12"/>
        </w:rPr>
        <w:t> </w:t>
      </w:r>
      <w:r>
        <w:rPr>
          <w:color w:val="6E6158"/>
        </w:rPr>
        <w:t>nonjudicial</w:t>
      </w:r>
      <w:r>
        <w:rPr>
          <w:color w:val="6E6158"/>
          <w:spacing w:val="11"/>
        </w:rPr>
        <w:t> </w:t>
      </w:r>
      <w:r>
        <w:rPr>
          <w:color w:val="6E6158"/>
        </w:rPr>
        <w:t>foreclosure</w:t>
      </w:r>
      <w:r>
        <w:rPr>
          <w:color w:val="6E6158"/>
          <w:spacing w:val="12"/>
        </w:rPr>
        <w:t> </w:t>
      </w:r>
      <w:r>
        <w:rPr>
          <w:color w:val="6E6158"/>
        </w:rPr>
        <w:t>of</w:t>
      </w:r>
      <w:r>
        <w:rPr>
          <w:color w:val="6E6158"/>
          <w:spacing w:val="11"/>
        </w:rPr>
        <w:t> </w:t>
      </w:r>
      <w:r>
        <w:rPr>
          <w:color w:val="6E6158"/>
        </w:rPr>
        <w:t>a</w:t>
      </w:r>
      <w:r>
        <w:rPr>
          <w:color w:val="6E6158"/>
          <w:spacing w:val="12"/>
        </w:rPr>
        <w:t> </w:t>
      </w:r>
      <w:r>
        <w:rPr>
          <w:color w:val="6E6158"/>
        </w:rPr>
        <w:t>deed</w:t>
      </w:r>
      <w:r>
        <w:rPr>
          <w:color w:val="6E6158"/>
          <w:spacing w:val="11"/>
        </w:rPr>
        <w:t> </w:t>
      </w:r>
      <w:r>
        <w:rPr>
          <w:color w:val="6E6158"/>
        </w:rPr>
        <w:t>of</w:t>
      </w:r>
      <w:r>
        <w:rPr>
          <w:color w:val="6E6158"/>
          <w:spacing w:val="12"/>
        </w:rPr>
        <w:t> </w:t>
      </w:r>
      <w:r>
        <w:rPr>
          <w:color w:val="6E6158"/>
        </w:rPr>
        <w:t>trust</w:t>
      </w:r>
      <w:r>
        <w:rPr>
          <w:color w:val="6E6158"/>
          <w:spacing w:val="11"/>
        </w:rPr>
        <w:t> </w:t>
      </w:r>
      <w:r>
        <w:rPr>
          <w:color w:val="6E6158"/>
        </w:rPr>
        <w:t>encumbering</w:t>
      </w:r>
      <w:r>
        <w:rPr>
          <w:color w:val="6E6158"/>
          <w:spacing w:val="12"/>
        </w:rPr>
        <w:t> </w:t>
      </w:r>
      <w:r>
        <w:rPr>
          <w:color w:val="6E6158"/>
        </w:rPr>
        <w:t>real</w:t>
      </w:r>
      <w:r>
        <w:rPr>
          <w:color w:val="6E6158"/>
          <w:spacing w:val="11"/>
        </w:rPr>
        <w:t> </w:t>
      </w:r>
      <w:r>
        <w:rPr>
          <w:color w:val="6E6158"/>
          <w:spacing w:val="-2"/>
        </w:rPr>
        <w:t>estate.</w:t>
      </w:r>
    </w:p>
    <w:p>
      <w:pPr>
        <w:pStyle w:val="BodyText"/>
        <w:spacing w:line="292" w:lineRule="auto" w:before="182"/>
        <w:ind w:right="258"/>
      </w:pPr>
      <w:r>
        <w:rPr>
          <w:color w:val="6E6158"/>
        </w:rPr>
        <w:t>Represented a non-profit habitat preservation organization in connection with its acquisitions</w:t>
      </w:r>
      <w:r>
        <w:rPr>
          <w:color w:val="6E6158"/>
          <w:spacing w:val="80"/>
        </w:rPr>
        <w:t> </w:t>
      </w:r>
      <w:r>
        <w:rPr>
          <w:color w:val="6E6158"/>
        </w:rPr>
        <w:t>from</w:t>
      </w:r>
      <w:r>
        <w:rPr>
          <w:color w:val="6E6158"/>
          <w:spacing w:val="17"/>
        </w:rPr>
        <w:t> </w:t>
      </w:r>
      <w:r>
        <w:rPr>
          <w:color w:val="6E6158"/>
        </w:rPr>
        <w:t>various</w:t>
      </w:r>
      <w:r>
        <w:rPr>
          <w:color w:val="6E6158"/>
          <w:spacing w:val="17"/>
        </w:rPr>
        <w:t> </w:t>
      </w:r>
      <w:r>
        <w:rPr>
          <w:color w:val="6E6158"/>
        </w:rPr>
        <w:t>bankruptcy</w:t>
      </w:r>
      <w:r>
        <w:rPr>
          <w:color w:val="6E6158"/>
          <w:spacing w:val="17"/>
        </w:rPr>
        <w:t> </w:t>
      </w:r>
      <w:r>
        <w:rPr>
          <w:color w:val="6E6158"/>
        </w:rPr>
        <w:t>estates</w:t>
      </w:r>
      <w:r>
        <w:rPr>
          <w:color w:val="6E6158"/>
          <w:spacing w:val="17"/>
        </w:rPr>
        <w:t> </w:t>
      </w:r>
      <w:r>
        <w:rPr>
          <w:color w:val="6E6158"/>
        </w:rPr>
        <w:t>of</w:t>
      </w:r>
      <w:r>
        <w:rPr>
          <w:color w:val="6E6158"/>
          <w:spacing w:val="17"/>
        </w:rPr>
        <w:t> </w:t>
      </w:r>
      <w:r>
        <w:rPr>
          <w:color w:val="6E6158"/>
        </w:rPr>
        <w:t>large</w:t>
      </w:r>
      <w:r>
        <w:rPr>
          <w:color w:val="6E6158"/>
          <w:spacing w:val="17"/>
        </w:rPr>
        <w:t> </w:t>
      </w:r>
      <w:r>
        <w:rPr>
          <w:color w:val="6E6158"/>
        </w:rPr>
        <w:t>tracts</w:t>
      </w:r>
      <w:r>
        <w:rPr>
          <w:color w:val="6E6158"/>
          <w:spacing w:val="17"/>
        </w:rPr>
        <w:t> </w:t>
      </w:r>
      <w:r>
        <w:rPr>
          <w:color w:val="6E6158"/>
        </w:rPr>
        <w:t>of</w:t>
      </w:r>
      <w:r>
        <w:rPr>
          <w:color w:val="6E6158"/>
          <w:spacing w:val="17"/>
        </w:rPr>
        <w:t> </w:t>
      </w:r>
      <w:r>
        <w:rPr>
          <w:color w:val="6E6158"/>
        </w:rPr>
        <w:t>undeveloped</w:t>
      </w:r>
      <w:r>
        <w:rPr>
          <w:color w:val="6E6158"/>
          <w:spacing w:val="17"/>
        </w:rPr>
        <w:t> </w:t>
      </w:r>
      <w:r>
        <w:rPr>
          <w:color w:val="6E6158"/>
        </w:rPr>
        <w:t>land</w:t>
      </w:r>
      <w:r>
        <w:rPr>
          <w:color w:val="6E6158"/>
          <w:spacing w:val="17"/>
        </w:rPr>
        <w:t> </w:t>
      </w:r>
      <w:r>
        <w:rPr>
          <w:color w:val="6E6158"/>
        </w:rPr>
        <w:t>for</w:t>
      </w:r>
      <w:r>
        <w:rPr>
          <w:color w:val="6E6158"/>
          <w:spacing w:val="17"/>
        </w:rPr>
        <w:t> </w:t>
      </w:r>
      <w:r>
        <w:rPr>
          <w:color w:val="6E6158"/>
        </w:rPr>
        <w:t>conservation</w:t>
      </w:r>
      <w:r>
        <w:rPr>
          <w:color w:val="6E6158"/>
          <w:spacing w:val="17"/>
        </w:rPr>
        <w:t> </w:t>
      </w:r>
      <w:r>
        <w:rPr>
          <w:color w:val="6E6158"/>
        </w:rPr>
        <w:t>purposes.</w:t>
      </w:r>
    </w:p>
    <w:p>
      <w:pPr>
        <w:pStyle w:val="BodyText"/>
        <w:spacing w:before="123"/>
      </w:pPr>
      <w:r>
        <w:rPr>
          <w:color w:val="6E6158"/>
        </w:rPr>
        <w:t>Represented</w:t>
      </w:r>
      <w:r>
        <w:rPr>
          <w:color w:val="6E6158"/>
          <w:spacing w:val="12"/>
        </w:rPr>
        <w:t> </w:t>
      </w:r>
      <w:r>
        <w:rPr>
          <w:color w:val="6E6158"/>
        </w:rPr>
        <w:t>a</w:t>
      </w:r>
      <w:r>
        <w:rPr>
          <w:color w:val="6E6158"/>
          <w:spacing w:val="12"/>
        </w:rPr>
        <w:t> </w:t>
      </w:r>
      <w:r>
        <w:rPr>
          <w:color w:val="6E6158"/>
        </w:rPr>
        <w:t>commercial</w:t>
      </w:r>
      <w:r>
        <w:rPr>
          <w:color w:val="6E6158"/>
          <w:spacing w:val="12"/>
        </w:rPr>
        <w:t> </w:t>
      </w:r>
      <w:r>
        <w:rPr>
          <w:color w:val="6E6158"/>
        </w:rPr>
        <w:t>landlord</w:t>
      </w:r>
      <w:r>
        <w:rPr>
          <w:color w:val="6E6158"/>
          <w:spacing w:val="13"/>
        </w:rPr>
        <w:t> </w:t>
      </w:r>
      <w:r>
        <w:rPr>
          <w:color w:val="6E6158"/>
        </w:rPr>
        <w:t>in</w:t>
      </w:r>
      <w:r>
        <w:rPr>
          <w:color w:val="6E6158"/>
          <w:spacing w:val="12"/>
        </w:rPr>
        <w:t> </w:t>
      </w:r>
      <w:r>
        <w:rPr>
          <w:color w:val="6E6158"/>
        </w:rPr>
        <w:t>the</w:t>
      </w:r>
      <w:r>
        <w:rPr>
          <w:color w:val="6E6158"/>
          <w:spacing w:val="12"/>
        </w:rPr>
        <w:t> </w:t>
      </w:r>
      <w:r>
        <w:rPr>
          <w:color w:val="6E6158"/>
        </w:rPr>
        <w:t>Chapter</w:t>
      </w:r>
      <w:r>
        <w:rPr>
          <w:color w:val="6E6158"/>
          <w:spacing w:val="12"/>
        </w:rPr>
        <w:t> </w:t>
      </w:r>
      <w:r>
        <w:rPr>
          <w:color w:val="6E6158"/>
        </w:rPr>
        <w:t>11</w:t>
      </w:r>
      <w:r>
        <w:rPr>
          <w:color w:val="6E6158"/>
          <w:spacing w:val="12"/>
        </w:rPr>
        <w:t> </w:t>
      </w:r>
      <w:r>
        <w:rPr>
          <w:color w:val="6E6158"/>
        </w:rPr>
        <w:t>bankruptcy</w:t>
      </w:r>
      <w:r>
        <w:rPr>
          <w:color w:val="6E6158"/>
          <w:spacing w:val="13"/>
        </w:rPr>
        <w:t> </w:t>
      </w:r>
      <w:r>
        <w:rPr>
          <w:color w:val="6E6158"/>
        </w:rPr>
        <w:t>of</w:t>
      </w:r>
      <w:r>
        <w:rPr>
          <w:color w:val="6E6158"/>
          <w:spacing w:val="12"/>
        </w:rPr>
        <w:t> </w:t>
      </w:r>
      <w:r>
        <w:rPr>
          <w:color w:val="6E6158"/>
        </w:rPr>
        <w:t>Rock</w:t>
      </w:r>
      <w:r>
        <w:rPr>
          <w:color w:val="6E6158"/>
          <w:spacing w:val="12"/>
        </w:rPr>
        <w:t> </w:t>
      </w:r>
      <w:r>
        <w:rPr>
          <w:color w:val="6E6158"/>
        </w:rPr>
        <w:t>Bottom</w:t>
      </w:r>
      <w:r>
        <w:rPr>
          <w:color w:val="6E6158"/>
          <w:spacing w:val="12"/>
        </w:rPr>
        <w:t> </w:t>
      </w:r>
      <w:r>
        <w:rPr>
          <w:color w:val="6E6158"/>
          <w:spacing w:val="-2"/>
        </w:rPr>
        <w:t>Brewery.</w:t>
      </w:r>
    </w:p>
    <w:p>
      <w:pPr>
        <w:pStyle w:val="BodyText"/>
        <w:spacing w:line="302" w:lineRule="auto" w:before="174"/>
        <w:ind w:right="347"/>
      </w:pPr>
      <w:r>
        <w:rPr>
          <w:color w:val="6E6158"/>
        </w:rPr>
        <w:t>Represented a member of the Official Committee of Unsecured Creditors in the Chapter 11 sale</w:t>
      </w:r>
      <w:r>
        <w:rPr>
          <w:color w:val="6E6158"/>
          <w:spacing w:val="80"/>
        </w:rPr>
        <w:t> </w:t>
      </w:r>
      <w:r>
        <w:rPr>
          <w:color w:val="6E6158"/>
        </w:rPr>
        <w:t>of FTD.</w:t>
      </w:r>
    </w:p>
    <w:p>
      <w:pPr>
        <w:pStyle w:val="BodyText"/>
        <w:spacing w:line="292" w:lineRule="auto" w:before="113"/>
      </w:pPr>
      <w:r>
        <w:rPr>
          <w:color w:val="6E6158"/>
        </w:rPr>
        <w:t>Represented a large group of wildfire victims in the Chapter 11 reorganization of Pacific Gas &amp;</w:t>
      </w:r>
      <w:r>
        <w:rPr>
          <w:color w:val="6E6158"/>
          <w:spacing w:val="40"/>
        </w:rPr>
        <w:t> </w:t>
      </w:r>
      <w:r>
        <w:rPr>
          <w:color w:val="6E6158"/>
          <w:spacing w:val="-2"/>
        </w:rPr>
        <w:t>Electric.</w:t>
      </w:r>
    </w:p>
    <w:p>
      <w:pPr>
        <w:pStyle w:val="BodyText"/>
        <w:spacing w:line="292" w:lineRule="auto" w:before="131"/>
        <w:ind w:right="129"/>
      </w:pPr>
      <w:r>
        <w:rPr>
          <w:color w:val="6E6158"/>
        </w:rPr>
        <w:t>Represented the San Diego Metro Transportation Service in the Chapter 11 reorganization of the</w:t>
      </w:r>
      <w:r>
        <w:rPr>
          <w:color w:val="6E6158"/>
          <w:spacing w:val="40"/>
        </w:rPr>
        <w:t> </w:t>
      </w:r>
      <w:r>
        <w:rPr>
          <w:color w:val="6E6158"/>
        </w:rPr>
        <w:t>“Desert Freight Line” Railroad.</w:t>
      </w:r>
    </w:p>
    <w:p>
      <w:pPr>
        <w:pStyle w:val="BodyText"/>
        <w:spacing w:line="292" w:lineRule="auto" w:before="124"/>
      </w:pPr>
      <w:r>
        <w:rPr>
          <w:color w:val="6E6158"/>
        </w:rPr>
        <w:t>Represented the court-appointed Special Master in litigation between the owners of a </w:t>
      </w:r>
      <w:r>
        <w:rPr>
          <w:color w:val="6E6158"/>
        </w:rPr>
        <w:t>large</w:t>
      </w:r>
      <w:r>
        <w:rPr>
          <w:color w:val="6E6158"/>
          <w:spacing w:val="40"/>
        </w:rPr>
        <w:t> </w:t>
      </w:r>
      <w:r>
        <w:rPr>
          <w:color w:val="6E6158"/>
        </w:rPr>
        <w:t>vertically integrated seed-to-sale cannabis operation.</w:t>
      </w:r>
    </w:p>
    <w:p>
      <w:pPr>
        <w:pStyle w:val="BodyText"/>
        <w:spacing w:before="131"/>
      </w:pPr>
      <w:r>
        <w:rPr>
          <w:color w:val="6E6158"/>
        </w:rPr>
        <w:t>Represented</w:t>
      </w:r>
      <w:r>
        <w:rPr>
          <w:color w:val="6E6158"/>
          <w:spacing w:val="10"/>
        </w:rPr>
        <w:t> </w:t>
      </w:r>
      <w:r>
        <w:rPr>
          <w:color w:val="6E6158"/>
        </w:rPr>
        <w:t>the</w:t>
      </w:r>
      <w:r>
        <w:rPr>
          <w:color w:val="6E6158"/>
          <w:spacing w:val="11"/>
        </w:rPr>
        <w:t> </w:t>
      </w:r>
      <w:r>
        <w:rPr>
          <w:color w:val="6E6158"/>
        </w:rPr>
        <w:t>lender</w:t>
      </w:r>
      <w:r>
        <w:rPr>
          <w:color w:val="6E6158"/>
          <w:spacing w:val="11"/>
        </w:rPr>
        <w:t> </w:t>
      </w:r>
      <w:r>
        <w:rPr>
          <w:color w:val="6E6158"/>
        </w:rPr>
        <w:t>in</w:t>
      </w:r>
      <w:r>
        <w:rPr>
          <w:color w:val="6E6158"/>
          <w:spacing w:val="11"/>
        </w:rPr>
        <w:t> </w:t>
      </w:r>
      <w:r>
        <w:rPr>
          <w:color w:val="6E6158"/>
        </w:rPr>
        <w:t>making</w:t>
      </w:r>
      <w:r>
        <w:rPr>
          <w:color w:val="6E6158"/>
          <w:spacing w:val="11"/>
        </w:rPr>
        <w:t> </w:t>
      </w:r>
      <w:r>
        <w:rPr>
          <w:color w:val="6E6158"/>
        </w:rPr>
        <w:t>a</w:t>
      </w:r>
      <w:r>
        <w:rPr>
          <w:color w:val="6E6158"/>
          <w:spacing w:val="11"/>
        </w:rPr>
        <w:t> </w:t>
      </w:r>
      <w:r>
        <w:rPr>
          <w:color w:val="6E6158"/>
        </w:rPr>
        <w:t>secured</w:t>
      </w:r>
      <w:r>
        <w:rPr>
          <w:color w:val="6E6158"/>
          <w:spacing w:val="10"/>
        </w:rPr>
        <w:t> </w:t>
      </w:r>
      <w:r>
        <w:rPr>
          <w:color w:val="6E6158"/>
        </w:rPr>
        <w:t>loan</w:t>
      </w:r>
      <w:r>
        <w:rPr>
          <w:color w:val="6E6158"/>
          <w:spacing w:val="11"/>
        </w:rPr>
        <w:t> </w:t>
      </w:r>
      <w:r>
        <w:rPr>
          <w:color w:val="6E6158"/>
        </w:rPr>
        <w:t>to</w:t>
      </w:r>
      <w:r>
        <w:rPr>
          <w:color w:val="6E6158"/>
          <w:spacing w:val="11"/>
        </w:rPr>
        <w:t> </w:t>
      </w:r>
      <w:r>
        <w:rPr>
          <w:color w:val="6E6158"/>
        </w:rPr>
        <w:t>a</w:t>
      </w:r>
      <w:r>
        <w:rPr>
          <w:color w:val="6E6158"/>
          <w:spacing w:val="11"/>
        </w:rPr>
        <w:t> </w:t>
      </w:r>
      <w:r>
        <w:rPr>
          <w:color w:val="6E6158"/>
        </w:rPr>
        <w:t>call-center</w:t>
      </w:r>
      <w:r>
        <w:rPr>
          <w:color w:val="6E6158"/>
          <w:spacing w:val="11"/>
        </w:rPr>
        <w:t> </w:t>
      </w:r>
      <w:r>
        <w:rPr>
          <w:color w:val="6E6158"/>
          <w:spacing w:val="-2"/>
        </w:rPr>
        <w:t>provider.</w:t>
      </w:r>
    </w:p>
    <w:p>
      <w:pPr>
        <w:pStyle w:val="BodyText"/>
        <w:spacing w:line="420" w:lineRule="auto" w:before="174"/>
      </w:pPr>
      <w:r>
        <w:rPr>
          <w:color w:val="6E6158"/>
        </w:rPr>
        <w:t>Represented a home healthcare and hospice nonprofit in connection with its insolvency.</w:t>
      </w:r>
      <w:r>
        <w:rPr>
          <w:color w:val="6E6158"/>
          <w:spacing w:val="40"/>
        </w:rPr>
        <w:t> </w:t>
      </w:r>
      <w:r>
        <w:rPr>
          <w:color w:val="6E6158"/>
        </w:rPr>
        <w:t>Represented a Federal Court Receiver in the liquidation of an electronic cigarette company.</w:t>
      </w:r>
      <w:r>
        <w:rPr>
          <w:color w:val="6E6158"/>
          <w:spacing w:val="40"/>
        </w:rPr>
        <w:t> </w:t>
      </w:r>
      <w:r>
        <w:rPr>
          <w:color w:val="6E6158"/>
        </w:rPr>
        <w:t>Represented</w:t>
      </w:r>
      <w:r>
        <w:rPr>
          <w:color w:val="6E6158"/>
          <w:spacing w:val="14"/>
        </w:rPr>
        <w:t> </w:t>
      </w:r>
      <w:r>
        <w:rPr>
          <w:color w:val="6E6158"/>
        </w:rPr>
        <w:t>a</w:t>
      </w:r>
      <w:r>
        <w:rPr>
          <w:color w:val="6E6158"/>
          <w:spacing w:val="14"/>
        </w:rPr>
        <w:t> </w:t>
      </w:r>
      <w:r>
        <w:rPr>
          <w:color w:val="6E6158"/>
        </w:rPr>
        <w:t>b-2-b</w:t>
      </w:r>
      <w:r>
        <w:rPr>
          <w:color w:val="6E6158"/>
          <w:spacing w:val="14"/>
        </w:rPr>
        <w:t> </w:t>
      </w:r>
      <w:r>
        <w:rPr>
          <w:color w:val="6E6158"/>
        </w:rPr>
        <w:t>jewelry</w:t>
      </w:r>
      <w:r>
        <w:rPr>
          <w:color w:val="6E6158"/>
          <w:spacing w:val="14"/>
        </w:rPr>
        <w:t> </w:t>
      </w:r>
      <w:r>
        <w:rPr>
          <w:color w:val="6E6158"/>
        </w:rPr>
        <w:t>company</w:t>
      </w:r>
      <w:r>
        <w:rPr>
          <w:color w:val="6E6158"/>
          <w:spacing w:val="14"/>
        </w:rPr>
        <w:t> </w:t>
      </w:r>
      <w:r>
        <w:rPr>
          <w:color w:val="6E6158"/>
        </w:rPr>
        <w:t>in</w:t>
      </w:r>
      <w:r>
        <w:rPr>
          <w:color w:val="6E6158"/>
          <w:spacing w:val="14"/>
        </w:rPr>
        <w:t> </w:t>
      </w:r>
      <w:r>
        <w:rPr>
          <w:color w:val="6E6158"/>
        </w:rPr>
        <w:t>an</w:t>
      </w:r>
      <w:r>
        <w:rPr>
          <w:color w:val="6E6158"/>
          <w:spacing w:val="14"/>
        </w:rPr>
        <w:t> </w:t>
      </w:r>
      <w:r>
        <w:rPr>
          <w:color w:val="6E6158"/>
        </w:rPr>
        <w:t>out-of-court</w:t>
      </w:r>
      <w:r>
        <w:rPr>
          <w:color w:val="6E6158"/>
          <w:spacing w:val="14"/>
        </w:rPr>
        <w:t> </w:t>
      </w:r>
      <w:r>
        <w:rPr>
          <w:color w:val="6E6158"/>
        </w:rPr>
        <w:t>workout</w:t>
      </w:r>
      <w:r>
        <w:rPr>
          <w:color w:val="6E6158"/>
          <w:spacing w:val="14"/>
        </w:rPr>
        <w:t> </w:t>
      </w:r>
      <w:r>
        <w:rPr>
          <w:color w:val="6E6158"/>
        </w:rPr>
        <w:t>with</w:t>
      </w:r>
      <w:r>
        <w:rPr>
          <w:color w:val="6E6158"/>
          <w:spacing w:val="14"/>
        </w:rPr>
        <w:t> </w:t>
      </w:r>
      <w:r>
        <w:rPr>
          <w:color w:val="6E6158"/>
        </w:rPr>
        <w:t>its</w:t>
      </w:r>
      <w:r>
        <w:rPr>
          <w:color w:val="6E6158"/>
          <w:spacing w:val="14"/>
        </w:rPr>
        <w:t> </w:t>
      </w:r>
      <w:r>
        <w:rPr>
          <w:color w:val="6E6158"/>
        </w:rPr>
        <w:t>senior</w:t>
      </w:r>
      <w:r>
        <w:rPr>
          <w:color w:val="6E6158"/>
          <w:spacing w:val="14"/>
        </w:rPr>
        <w:t> </w:t>
      </w:r>
      <w:r>
        <w:rPr>
          <w:color w:val="6E6158"/>
        </w:rPr>
        <w:t>secured</w:t>
      </w:r>
      <w:r>
        <w:rPr>
          <w:color w:val="6E6158"/>
          <w:spacing w:val="14"/>
        </w:rPr>
        <w:t> </w:t>
      </w:r>
      <w:r>
        <w:rPr>
          <w:color w:val="6E6158"/>
        </w:rPr>
        <w:t>lender.</w:t>
      </w:r>
    </w:p>
    <w:p>
      <w:pPr>
        <w:pStyle w:val="BodyText"/>
        <w:spacing w:line="292" w:lineRule="auto" w:before="6"/>
        <w:ind w:right="246"/>
      </w:pPr>
      <w:r>
        <w:rPr>
          <w:color w:val="6E6158"/>
        </w:rPr>
        <w:t>Represented the Creditors’ Committee in the Chapter 11 reorganization cases of the Southern</w:t>
      </w:r>
      <w:r>
        <w:rPr>
          <w:color w:val="6E6158"/>
          <w:spacing w:val="40"/>
        </w:rPr>
        <w:t> </w:t>
      </w:r>
      <w:r>
        <w:rPr>
          <w:color w:val="6E6158"/>
        </w:rPr>
        <w:t>California franchises of Party City, which cases resulted in the company’s successful </w:t>
      </w:r>
      <w:r>
        <w:rPr>
          <w:color w:val="6E6158"/>
        </w:rPr>
        <w:t>emergence</w:t>
      </w:r>
      <w:r>
        <w:rPr>
          <w:color w:val="6E6158"/>
          <w:spacing w:val="40"/>
        </w:rPr>
        <w:t> </w:t>
      </w:r>
      <w:r>
        <w:rPr>
          <w:color w:val="6E6158"/>
        </w:rPr>
        <w:t>from bankruptcy under a confirmed plan.</w:t>
      </w:r>
    </w:p>
    <w:p>
      <w:pPr>
        <w:pStyle w:val="BodyText"/>
        <w:spacing w:line="422" w:lineRule="auto" w:before="124"/>
      </w:pPr>
      <w:r>
        <w:rPr>
          <w:color w:val="6E6158"/>
        </w:rPr>
        <w:t>Represented a regional bank in numerous commercial collection and insolvency matters.</w:t>
      </w:r>
      <w:r>
        <w:rPr>
          <w:color w:val="6E6158"/>
          <w:spacing w:val="40"/>
        </w:rPr>
        <w:t> </w:t>
      </w:r>
      <w:r>
        <w:rPr>
          <w:color w:val="6E6158"/>
        </w:rPr>
        <w:t>Represented a national consumer financial services company in its Chapter 11 </w:t>
      </w:r>
      <w:r>
        <w:rPr>
          <w:color w:val="6E6158"/>
        </w:rPr>
        <w:t>reorganization.</w:t>
      </w:r>
      <w:r>
        <w:rPr>
          <w:color w:val="6E6158"/>
          <w:spacing w:val="40"/>
        </w:rPr>
        <w:t> </w:t>
      </w:r>
      <w:r>
        <w:rPr>
          <w:color w:val="6E6158"/>
        </w:rPr>
        <w:t>Represented a commercial landlord in the Sports Authority Chapter 11.</w:t>
      </w:r>
    </w:p>
    <w:p>
      <w:pPr>
        <w:pStyle w:val="BodyText"/>
        <w:spacing w:line="302" w:lineRule="auto"/>
        <w:ind w:right="588"/>
      </w:pPr>
      <w:r>
        <w:rPr>
          <w:color w:val="6E6158"/>
        </w:rPr>
        <w:t>Represented the principal of a nutraceutical/supplement company in connection with </w:t>
      </w:r>
      <w:r>
        <w:rPr>
          <w:color w:val="6E6158"/>
        </w:rPr>
        <w:t>the</w:t>
      </w:r>
      <w:r>
        <w:rPr>
          <w:color w:val="6E6158"/>
          <w:spacing w:val="40"/>
        </w:rPr>
        <w:t> </w:t>
      </w:r>
      <w:r>
        <w:rPr>
          <w:color w:val="6E6158"/>
        </w:rPr>
        <w:t>section 363 sale of the company.</w:t>
      </w:r>
    </w:p>
    <w:p>
      <w:pPr>
        <w:pStyle w:val="BodyText"/>
        <w:spacing w:line="292" w:lineRule="auto" w:before="111"/>
        <w:ind w:right="588"/>
      </w:pPr>
      <w:r>
        <w:rPr>
          <w:color w:val="6E6158"/>
        </w:rPr>
        <w:t>Represented a secured creditor in the Chapter 11 reorganization of a national fast food</w:t>
      </w:r>
      <w:r>
        <w:rPr>
          <w:color w:val="6E6158"/>
          <w:spacing w:val="40"/>
        </w:rPr>
        <w:t> </w:t>
      </w:r>
      <w:r>
        <w:rPr>
          <w:color w:val="6E6158"/>
          <w:spacing w:val="-2"/>
        </w:rPr>
        <w:t>franchise.</w:t>
      </w:r>
    </w:p>
    <w:p>
      <w:pPr>
        <w:pStyle w:val="BodyText"/>
        <w:spacing w:line="302" w:lineRule="auto" w:before="124"/>
        <w:ind w:right="405"/>
      </w:pPr>
      <w:r>
        <w:rPr>
          <w:color w:val="6E6158"/>
        </w:rPr>
        <w:t>Represented a snack food company in its sale as a going concern through an assignment for</w:t>
      </w:r>
      <w:r>
        <w:rPr>
          <w:color w:val="6E6158"/>
          <w:spacing w:val="40"/>
        </w:rPr>
        <w:t> </w:t>
      </w:r>
      <w:r>
        <w:rPr>
          <w:color w:val="6E6158"/>
        </w:rPr>
        <w:t>the benefit of creditors.</w:t>
      </w:r>
    </w:p>
    <w:p>
      <w:pPr>
        <w:pStyle w:val="BodyText"/>
        <w:spacing w:line="292" w:lineRule="auto" w:before="112"/>
        <w:ind w:right="129"/>
      </w:pPr>
      <w:r>
        <w:rPr>
          <w:color w:val="6E6158"/>
        </w:rPr>
        <w:t>Represented a State Court Receiver in the receivership of a $50,000,000 commercial property in</w:t>
      </w:r>
      <w:r>
        <w:rPr>
          <w:color w:val="6E6158"/>
          <w:spacing w:val="40"/>
        </w:rPr>
        <w:t> </w:t>
      </w:r>
      <w:r>
        <w:rPr>
          <w:color w:val="6E6158"/>
        </w:rPr>
        <w:t>Northern California.</w:t>
      </w:r>
    </w:p>
    <w:p>
      <w:pPr>
        <w:pStyle w:val="BodyText"/>
        <w:spacing w:line="302" w:lineRule="auto" w:before="124"/>
        <w:ind w:right="588"/>
      </w:pPr>
      <w:r>
        <w:rPr>
          <w:color w:val="6E6158"/>
        </w:rPr>
        <w:t>Represented the post-confirmation trustee in the jointly-administered Chapter 11 </w:t>
      </w:r>
      <w:r>
        <w:rPr>
          <w:color w:val="6E6158"/>
        </w:rPr>
        <w:t>bankruptcy</w:t>
      </w:r>
      <w:r>
        <w:rPr>
          <w:color w:val="6E6158"/>
          <w:spacing w:val="40"/>
        </w:rPr>
        <w:t> </w:t>
      </w:r>
      <w:r>
        <w:rPr>
          <w:color w:val="6E6158"/>
        </w:rPr>
        <w:t>cases of a group of national financial services companies.</w:t>
      </w:r>
    </w:p>
    <w:p>
      <w:pPr>
        <w:pStyle w:val="BodyText"/>
        <w:spacing w:after="0" w:line="302" w:lineRule="auto"/>
        <w:sectPr>
          <w:pgSz w:w="12240" w:h="15840"/>
          <w:pgMar w:top="500" w:bottom="280" w:left="1440" w:right="1440"/>
        </w:sectPr>
      </w:pPr>
    </w:p>
    <w:p>
      <w:pPr>
        <w:pStyle w:val="BodyText"/>
        <w:spacing w:before="83"/>
      </w:pPr>
      <w:r>
        <w:rPr>
          <w:color w:val="6E6158"/>
        </w:rPr>
        <w:t>Represented</w:t>
      </w:r>
      <w:r>
        <w:rPr>
          <w:color w:val="6E6158"/>
          <w:spacing w:val="12"/>
        </w:rPr>
        <w:t> </w:t>
      </w:r>
      <w:r>
        <w:rPr>
          <w:color w:val="6E6158"/>
        </w:rPr>
        <w:t>a</w:t>
      </w:r>
      <w:r>
        <w:rPr>
          <w:color w:val="6E6158"/>
          <w:spacing w:val="12"/>
        </w:rPr>
        <w:t> </w:t>
      </w:r>
      <w:r>
        <w:rPr>
          <w:color w:val="6E6158"/>
        </w:rPr>
        <w:t>large</w:t>
      </w:r>
      <w:r>
        <w:rPr>
          <w:color w:val="6E6158"/>
          <w:spacing w:val="12"/>
        </w:rPr>
        <w:t> </w:t>
      </w:r>
      <w:r>
        <w:rPr>
          <w:color w:val="6E6158"/>
        </w:rPr>
        <w:t>national</w:t>
      </w:r>
      <w:r>
        <w:rPr>
          <w:color w:val="6E6158"/>
          <w:spacing w:val="12"/>
        </w:rPr>
        <w:t> </w:t>
      </w:r>
      <w:r>
        <w:rPr>
          <w:color w:val="6E6158"/>
        </w:rPr>
        <w:t>defense</w:t>
      </w:r>
      <w:r>
        <w:rPr>
          <w:color w:val="6E6158"/>
          <w:spacing w:val="12"/>
        </w:rPr>
        <w:t> </w:t>
      </w:r>
      <w:r>
        <w:rPr>
          <w:color w:val="6E6158"/>
        </w:rPr>
        <w:t>contractor</w:t>
      </w:r>
      <w:r>
        <w:rPr>
          <w:color w:val="6E6158"/>
          <w:spacing w:val="12"/>
        </w:rPr>
        <w:t> </w:t>
      </w:r>
      <w:r>
        <w:rPr>
          <w:color w:val="6E6158"/>
        </w:rPr>
        <w:t>in</w:t>
      </w:r>
      <w:r>
        <w:rPr>
          <w:color w:val="6E6158"/>
          <w:spacing w:val="12"/>
        </w:rPr>
        <w:t> </w:t>
      </w:r>
      <w:r>
        <w:rPr>
          <w:color w:val="6E6158"/>
        </w:rPr>
        <w:t>its</w:t>
      </w:r>
      <w:r>
        <w:rPr>
          <w:color w:val="6E6158"/>
          <w:spacing w:val="12"/>
        </w:rPr>
        <w:t> </w:t>
      </w:r>
      <w:r>
        <w:rPr>
          <w:color w:val="6E6158"/>
        </w:rPr>
        <w:t>Chapter</w:t>
      </w:r>
      <w:r>
        <w:rPr>
          <w:color w:val="6E6158"/>
          <w:spacing w:val="12"/>
        </w:rPr>
        <w:t> </w:t>
      </w:r>
      <w:r>
        <w:rPr>
          <w:color w:val="6E6158"/>
        </w:rPr>
        <w:t>11</w:t>
      </w:r>
      <w:r>
        <w:rPr>
          <w:color w:val="6E6158"/>
          <w:spacing w:val="12"/>
        </w:rPr>
        <w:t> </w:t>
      </w:r>
      <w:r>
        <w:rPr>
          <w:color w:val="6E6158"/>
          <w:spacing w:val="-2"/>
        </w:rPr>
        <w:t>reorganization.</w:t>
      </w:r>
    </w:p>
    <w:p>
      <w:pPr>
        <w:pStyle w:val="BodyText"/>
        <w:spacing w:line="302" w:lineRule="auto" w:before="174"/>
        <w:ind w:right="347"/>
      </w:pPr>
      <w:r>
        <w:rPr>
          <w:color w:val="6E6158"/>
        </w:rPr>
        <w:t>Represented a Federal Court Receiver in a real estate Ponzi scheme receivership </w:t>
      </w:r>
      <w:r>
        <w:rPr>
          <w:color w:val="6E6158"/>
        </w:rPr>
        <w:t>commenced</w:t>
      </w:r>
      <w:r>
        <w:rPr>
          <w:color w:val="6E6158"/>
          <w:spacing w:val="40"/>
        </w:rPr>
        <w:t> </w:t>
      </w:r>
      <w:r>
        <w:rPr>
          <w:color w:val="6E6158"/>
        </w:rPr>
        <w:t>by the Securities Exchange Commission.</w:t>
      </w:r>
    </w:p>
    <w:p>
      <w:pPr>
        <w:pStyle w:val="BodyText"/>
        <w:spacing w:line="292" w:lineRule="auto" w:before="113"/>
      </w:pPr>
      <w:r>
        <w:rPr>
          <w:color w:val="6E6158"/>
        </w:rPr>
        <w:t>Represented the Creditors’ Committee in the Chapter 11 case of a water meter </w:t>
      </w:r>
      <w:r>
        <w:rPr>
          <w:color w:val="6E6158"/>
        </w:rPr>
        <w:t>component</w:t>
      </w:r>
      <w:r>
        <w:rPr>
          <w:color w:val="6E6158"/>
          <w:spacing w:val="40"/>
        </w:rPr>
        <w:t> </w:t>
      </w:r>
      <w:r>
        <w:rPr>
          <w:color w:val="6E6158"/>
          <w:spacing w:val="-2"/>
        </w:rPr>
        <w:t>manufacturer.</w:t>
      </w:r>
    </w:p>
    <w:p>
      <w:pPr>
        <w:pStyle w:val="BodyText"/>
        <w:spacing w:line="302" w:lineRule="auto" w:before="123"/>
        <w:ind w:right="588"/>
      </w:pPr>
      <w:r>
        <w:rPr>
          <w:color w:val="6E6158"/>
        </w:rPr>
        <w:t>Represented an automotive parts wholesaler in its sale as a going concern through an</w:t>
      </w:r>
      <w:r>
        <w:rPr>
          <w:color w:val="6E6158"/>
          <w:spacing w:val="40"/>
        </w:rPr>
        <w:t> </w:t>
      </w:r>
      <w:r>
        <w:rPr>
          <w:color w:val="6E6158"/>
        </w:rPr>
        <w:t>assignment for the benefit of creditors.</w:t>
      </w:r>
    </w:p>
    <w:p>
      <w:pPr>
        <w:pStyle w:val="BodyText"/>
        <w:spacing w:line="292" w:lineRule="auto" w:before="113"/>
        <w:ind w:right="246"/>
      </w:pPr>
      <w:r>
        <w:rPr>
          <w:color w:val="6E6158"/>
        </w:rPr>
        <w:t>Represented a national health insurance and services provider in connection with </w:t>
      </w:r>
      <w:r>
        <w:rPr>
          <w:color w:val="6E6158"/>
        </w:rPr>
        <w:t>its administrative claim in the Chapter 11 case of a hospice facility.</w:t>
      </w:r>
    </w:p>
    <w:p>
      <w:pPr>
        <w:pStyle w:val="BodyText"/>
        <w:spacing w:line="302" w:lineRule="auto" w:before="123"/>
      </w:pPr>
      <w:r>
        <w:rPr>
          <w:color w:val="6E6158"/>
        </w:rPr>
        <w:t>Represented the Chapter 7 trustee in the bankruptcy liquidation of a group of 14 timeshare</w:t>
      </w:r>
      <w:r>
        <w:rPr>
          <w:color w:val="6E6158"/>
          <w:spacing w:val="40"/>
        </w:rPr>
        <w:t> </w:t>
      </w:r>
      <w:r>
        <w:rPr>
          <w:color w:val="6E6158"/>
        </w:rPr>
        <w:t>companies,</w:t>
      </w:r>
      <w:r>
        <w:rPr>
          <w:color w:val="6E6158"/>
          <w:spacing w:val="40"/>
        </w:rPr>
        <w:t> </w:t>
      </w:r>
      <w:r>
        <w:rPr>
          <w:color w:val="6E6158"/>
        </w:rPr>
        <w:t>including</w:t>
      </w:r>
      <w:r>
        <w:rPr>
          <w:color w:val="6E6158"/>
          <w:spacing w:val="40"/>
        </w:rPr>
        <w:t> </w:t>
      </w:r>
      <w:r>
        <w:rPr>
          <w:color w:val="6E6158"/>
        </w:rPr>
        <w:t>several</w:t>
      </w:r>
      <w:r>
        <w:rPr>
          <w:color w:val="6E6158"/>
          <w:spacing w:val="40"/>
        </w:rPr>
        <w:t> </w:t>
      </w:r>
      <w:r>
        <w:rPr>
          <w:color w:val="6E6158"/>
        </w:rPr>
        <w:t>hundred</w:t>
      </w:r>
      <w:r>
        <w:rPr>
          <w:color w:val="6E6158"/>
          <w:spacing w:val="40"/>
        </w:rPr>
        <w:t> </w:t>
      </w:r>
      <w:r>
        <w:rPr>
          <w:color w:val="6E6158"/>
        </w:rPr>
        <w:t>million</w:t>
      </w:r>
      <w:r>
        <w:rPr>
          <w:color w:val="6E6158"/>
          <w:spacing w:val="40"/>
        </w:rPr>
        <w:t> </w:t>
      </w:r>
      <w:r>
        <w:rPr>
          <w:color w:val="6E6158"/>
        </w:rPr>
        <w:t>dollars</w:t>
      </w:r>
      <w:r>
        <w:rPr>
          <w:color w:val="6E6158"/>
          <w:spacing w:val="40"/>
        </w:rPr>
        <w:t> </w:t>
      </w:r>
      <w:r>
        <w:rPr>
          <w:color w:val="6E6158"/>
        </w:rPr>
        <w:t>of</w:t>
      </w:r>
      <w:r>
        <w:rPr>
          <w:color w:val="6E6158"/>
          <w:spacing w:val="40"/>
        </w:rPr>
        <w:t> </w:t>
      </w:r>
      <w:r>
        <w:rPr>
          <w:color w:val="6E6158"/>
        </w:rPr>
        <w:t>notes</w:t>
      </w:r>
      <w:r>
        <w:rPr>
          <w:color w:val="6E6158"/>
          <w:spacing w:val="40"/>
        </w:rPr>
        <w:t> </w:t>
      </w:r>
      <w:r>
        <w:rPr>
          <w:color w:val="6E6158"/>
        </w:rPr>
        <w:t>receivable</w:t>
      </w:r>
      <w:r>
        <w:rPr>
          <w:color w:val="6E6158"/>
          <w:spacing w:val="40"/>
        </w:rPr>
        <w:t> </w:t>
      </w:r>
      <w:r>
        <w:rPr>
          <w:color w:val="6E6158"/>
        </w:rPr>
        <w:t>collateral.</w:t>
      </w:r>
    </w:p>
    <w:p>
      <w:pPr>
        <w:pStyle w:val="BodyText"/>
        <w:spacing w:line="292" w:lineRule="auto" w:before="113"/>
      </w:pPr>
      <w:r>
        <w:rPr>
          <w:color w:val="6E6158"/>
        </w:rPr>
        <w:t>Represented the principal of a real estate holding consortium in connection with an out-of-</w:t>
      </w:r>
      <w:r>
        <w:rPr>
          <w:color w:val="6E6158"/>
        </w:rPr>
        <w:t>court</w:t>
      </w:r>
      <w:r>
        <w:rPr>
          <w:color w:val="6E6158"/>
          <w:spacing w:val="40"/>
        </w:rPr>
        <w:t> </w:t>
      </w:r>
      <w:r>
        <w:rPr>
          <w:color w:val="6E6158"/>
        </w:rPr>
        <w:t>workout with the senior secured lender.</w:t>
      </w:r>
    </w:p>
    <w:p>
      <w:pPr>
        <w:pStyle w:val="BodyText"/>
        <w:spacing w:line="302" w:lineRule="auto" w:before="123"/>
      </w:pPr>
      <w:r>
        <w:rPr>
          <w:color w:val="6E6158"/>
        </w:rPr>
        <w:t>Represented a State Court Receiver in connection with the liquidation of a group of health care</w:t>
      </w:r>
      <w:r>
        <w:rPr>
          <w:color w:val="6E6158"/>
          <w:spacing w:val="40"/>
        </w:rPr>
        <w:t> </w:t>
      </w:r>
      <w:r>
        <w:rPr>
          <w:color w:val="6E6158"/>
        </w:rPr>
        <w:t>provider entities.</w:t>
      </w:r>
    </w:p>
    <w:p>
      <w:pPr>
        <w:pStyle w:val="BodyText"/>
        <w:spacing w:line="292" w:lineRule="auto" w:before="113"/>
        <w:ind w:right="246"/>
      </w:pPr>
      <w:r>
        <w:rPr>
          <w:color w:val="6E6158"/>
        </w:rPr>
        <w:t>Represented the purchaser of a large portfolio of distressed debt in the liquidation of the real</w:t>
      </w:r>
      <w:r>
        <w:rPr>
          <w:color w:val="6E6158"/>
          <w:spacing w:val="40"/>
        </w:rPr>
        <w:t> </w:t>
      </w:r>
      <w:r>
        <w:rPr>
          <w:color w:val="6E6158"/>
        </w:rPr>
        <w:t>estate acquired thereunder.</w:t>
      </w:r>
    </w:p>
    <w:p>
      <w:pPr>
        <w:pStyle w:val="BodyText"/>
        <w:spacing w:line="292" w:lineRule="auto" w:before="132"/>
      </w:pPr>
      <w:r>
        <w:rPr>
          <w:color w:val="6E6158"/>
        </w:rPr>
        <w:t>Represented the debtor-in-possession in a Chapter 11 reorganization of a professional </w:t>
      </w:r>
      <w:r>
        <w:rPr>
          <w:color w:val="6E6158"/>
        </w:rPr>
        <w:t>services</w:t>
      </w:r>
      <w:r>
        <w:rPr>
          <w:color w:val="6E6158"/>
          <w:spacing w:val="40"/>
        </w:rPr>
        <w:t> </w:t>
      </w:r>
      <w:r>
        <w:rPr>
          <w:color w:val="6E6158"/>
          <w:spacing w:val="-2"/>
        </w:rPr>
        <w:t>company.</w:t>
      </w:r>
    </w:p>
    <w:p>
      <w:pPr>
        <w:pStyle w:val="BodyText"/>
        <w:spacing w:line="292" w:lineRule="auto" w:before="123"/>
        <w:ind w:right="588"/>
      </w:pPr>
      <w:r>
        <w:rPr>
          <w:color w:val="6E6158"/>
        </w:rPr>
        <w:t>Represented a strategic buyer in connection with its purchase of a tile company through a</w:t>
      </w:r>
      <w:r>
        <w:rPr>
          <w:color w:val="6E6158"/>
          <w:spacing w:val="40"/>
        </w:rPr>
        <w:t> </w:t>
      </w:r>
      <w:r>
        <w:rPr>
          <w:color w:val="6E6158"/>
        </w:rPr>
        <w:t>section 363 sale.</w:t>
      </w:r>
    </w:p>
    <w:p>
      <w:pPr>
        <w:pStyle w:val="BodyText"/>
        <w:spacing w:line="292" w:lineRule="auto" w:before="131"/>
        <w:ind w:right="588"/>
      </w:pPr>
      <w:r>
        <w:rPr>
          <w:color w:val="6E6158"/>
        </w:rPr>
        <w:t>Represented a government contracting construction company in its liquidation through </w:t>
      </w:r>
      <w:r>
        <w:rPr>
          <w:color w:val="6E6158"/>
        </w:rPr>
        <w:t>a</w:t>
      </w:r>
      <w:r>
        <w:rPr>
          <w:color w:val="6E6158"/>
          <w:spacing w:val="40"/>
        </w:rPr>
        <w:t> </w:t>
      </w:r>
      <w:r>
        <w:rPr>
          <w:color w:val="6E6158"/>
        </w:rPr>
        <w:t>Chapter 7 bankruptcy.</w:t>
      </w:r>
    </w:p>
    <w:p>
      <w:pPr>
        <w:pStyle w:val="BodyText"/>
        <w:spacing w:line="292" w:lineRule="auto" w:before="124"/>
        <w:ind w:right="129"/>
      </w:pPr>
      <w:r>
        <w:rPr>
          <w:color w:val="6E6158"/>
        </w:rPr>
        <w:t>Represented a State Court Receiver in litigation over debt secured by real property, and the</w:t>
      </w:r>
      <w:r>
        <w:rPr>
          <w:color w:val="6E6158"/>
          <w:spacing w:val="40"/>
        </w:rPr>
        <w:t> </w:t>
      </w:r>
      <w:r>
        <w:rPr>
          <w:color w:val="6E6158"/>
        </w:rPr>
        <w:t>related</w:t>
      </w:r>
      <w:r>
        <w:rPr>
          <w:color w:val="6E6158"/>
          <w:spacing w:val="40"/>
        </w:rPr>
        <w:t> </w:t>
      </w:r>
      <w:r>
        <w:rPr>
          <w:color w:val="6E6158"/>
        </w:rPr>
        <w:t>Chapter</w:t>
      </w:r>
      <w:r>
        <w:rPr>
          <w:color w:val="6E6158"/>
          <w:spacing w:val="40"/>
        </w:rPr>
        <w:t> </w:t>
      </w:r>
      <w:r>
        <w:rPr>
          <w:color w:val="6E6158"/>
        </w:rPr>
        <w:t>11</w:t>
      </w:r>
      <w:r>
        <w:rPr>
          <w:color w:val="6E6158"/>
          <w:spacing w:val="40"/>
        </w:rPr>
        <w:t> </w:t>
      </w:r>
      <w:r>
        <w:rPr>
          <w:color w:val="6E6158"/>
        </w:rPr>
        <w:t>reorganization</w:t>
      </w:r>
      <w:r>
        <w:rPr>
          <w:color w:val="6E6158"/>
          <w:spacing w:val="40"/>
        </w:rPr>
        <w:t> </w:t>
      </w:r>
      <w:r>
        <w:rPr>
          <w:color w:val="6E6158"/>
        </w:rPr>
        <w:t>cases</w:t>
      </w:r>
      <w:r>
        <w:rPr>
          <w:color w:val="6E6158"/>
          <w:spacing w:val="40"/>
        </w:rPr>
        <w:t> </w:t>
      </w:r>
      <w:r>
        <w:rPr>
          <w:color w:val="6E6158"/>
        </w:rPr>
        <w:t>of</w:t>
      </w:r>
      <w:r>
        <w:rPr>
          <w:color w:val="6E6158"/>
          <w:spacing w:val="40"/>
        </w:rPr>
        <w:t> </w:t>
      </w:r>
      <w:r>
        <w:rPr>
          <w:color w:val="6E6158"/>
        </w:rPr>
        <w:t>several</w:t>
      </w:r>
      <w:r>
        <w:rPr>
          <w:color w:val="6E6158"/>
          <w:spacing w:val="40"/>
        </w:rPr>
        <w:t> </w:t>
      </w:r>
      <w:r>
        <w:rPr>
          <w:color w:val="6E6158"/>
        </w:rPr>
        <w:t>hundred</w:t>
      </w:r>
      <w:r>
        <w:rPr>
          <w:color w:val="6E6158"/>
          <w:spacing w:val="40"/>
        </w:rPr>
        <w:t> </w:t>
      </w:r>
      <w:r>
        <w:rPr>
          <w:color w:val="6E6158"/>
        </w:rPr>
        <w:t>restaurant</w:t>
      </w:r>
      <w:r>
        <w:rPr>
          <w:color w:val="6E6158"/>
          <w:spacing w:val="40"/>
        </w:rPr>
        <w:t> </w:t>
      </w:r>
      <w:r>
        <w:rPr>
          <w:color w:val="6E6158"/>
        </w:rPr>
        <w:t>franchises.</w:t>
      </w:r>
    </w:p>
    <w:p>
      <w:pPr>
        <w:pStyle w:val="BodyText"/>
        <w:spacing w:line="292" w:lineRule="auto" w:before="131"/>
      </w:pPr>
      <w:r>
        <w:rPr>
          <w:color w:val="6E6158"/>
        </w:rPr>
        <w:t>Represented the bankruptcy examiner in the Chapter 11 reorganization of a San </w:t>
      </w:r>
      <w:r>
        <w:rPr>
          <w:color w:val="6E6158"/>
        </w:rPr>
        <w:t>Diego entertainment business.</w:t>
      </w:r>
    </w:p>
    <w:p>
      <w:pPr>
        <w:pStyle w:val="BodyText"/>
        <w:spacing w:line="295" w:lineRule="auto" w:before="123"/>
        <w:ind w:right="246"/>
      </w:pPr>
      <w:r>
        <w:rPr>
          <w:color w:val="6E6158"/>
        </w:rPr>
        <w:t>Represented the Chapter 7 trustee in the winding up and liquidation of a large Nevada tax</w:t>
      </w:r>
      <w:r>
        <w:rPr>
          <w:color w:val="6E6158"/>
          <w:spacing w:val="80"/>
        </w:rPr>
        <w:t> </w:t>
      </w:r>
      <w:r>
        <w:rPr>
          <w:color w:val="6E6158"/>
        </w:rPr>
        <w:t>advice and audit advisory services company that was the target of legal attacks by the Internal</w:t>
      </w:r>
      <w:r>
        <w:rPr>
          <w:color w:val="6E6158"/>
          <w:spacing w:val="40"/>
        </w:rPr>
        <w:t> </w:t>
      </w:r>
      <w:r>
        <w:rPr>
          <w:color w:val="6E6158"/>
        </w:rPr>
        <w:t>Revenue Service and the Federal Trade Commission, which resulted in significant criminal and</w:t>
      </w:r>
      <w:r>
        <w:rPr>
          <w:color w:val="6E6158"/>
          <w:spacing w:val="40"/>
        </w:rPr>
        <w:t> </w:t>
      </w:r>
      <w:r>
        <w:rPr>
          <w:color w:val="6E6158"/>
        </w:rPr>
        <w:t>financial</w:t>
      </w:r>
      <w:r>
        <w:rPr>
          <w:color w:val="6E6158"/>
          <w:spacing w:val="40"/>
        </w:rPr>
        <w:t> </w:t>
      </w:r>
      <w:r>
        <w:rPr>
          <w:color w:val="6E6158"/>
        </w:rPr>
        <w:t>liability</w:t>
      </w:r>
      <w:r>
        <w:rPr>
          <w:color w:val="6E6158"/>
          <w:spacing w:val="40"/>
        </w:rPr>
        <w:t> </w:t>
      </w:r>
      <w:r>
        <w:rPr>
          <w:color w:val="6E6158"/>
        </w:rPr>
        <w:t>imposed</w:t>
      </w:r>
      <w:r>
        <w:rPr>
          <w:color w:val="6E6158"/>
          <w:spacing w:val="40"/>
        </w:rPr>
        <w:t> </w:t>
      </w:r>
      <w:r>
        <w:rPr>
          <w:color w:val="6E6158"/>
        </w:rPr>
        <w:t>upon</w:t>
      </w:r>
      <w:r>
        <w:rPr>
          <w:color w:val="6E6158"/>
          <w:spacing w:val="40"/>
        </w:rPr>
        <w:t> </w:t>
      </w:r>
      <w:r>
        <w:rPr>
          <w:color w:val="6E6158"/>
        </w:rPr>
        <w:t>the</w:t>
      </w:r>
      <w:r>
        <w:rPr>
          <w:color w:val="6E6158"/>
          <w:spacing w:val="40"/>
        </w:rPr>
        <w:t> </w:t>
      </w:r>
      <w:r>
        <w:rPr>
          <w:color w:val="6E6158"/>
        </w:rPr>
        <w:t>corporation’s</w:t>
      </w:r>
      <w:r>
        <w:rPr>
          <w:color w:val="6E6158"/>
          <w:spacing w:val="40"/>
        </w:rPr>
        <w:t> </w:t>
      </w:r>
      <w:r>
        <w:rPr>
          <w:color w:val="6E6158"/>
        </w:rPr>
        <w:t>principals</w:t>
      </w:r>
      <w:r>
        <w:rPr>
          <w:color w:val="6E6158"/>
          <w:spacing w:val="40"/>
        </w:rPr>
        <w:t> </w:t>
      </w:r>
      <w:r>
        <w:rPr>
          <w:color w:val="6E6158"/>
        </w:rPr>
        <w:t>and</w:t>
      </w:r>
      <w:r>
        <w:rPr>
          <w:color w:val="6E6158"/>
          <w:spacing w:val="40"/>
        </w:rPr>
        <w:t> </w:t>
      </w:r>
      <w:r>
        <w:rPr>
          <w:color w:val="6E6158"/>
        </w:rPr>
        <w:t>control-persons.</w:t>
      </w:r>
    </w:p>
    <w:p>
      <w:pPr>
        <w:pStyle w:val="BodyText"/>
        <w:spacing w:line="297" w:lineRule="auto" w:before="124"/>
        <w:ind w:right="347"/>
      </w:pPr>
      <w:r>
        <w:rPr>
          <w:color w:val="6E6158"/>
        </w:rPr>
        <w:t>Represented the Chapter 11 trustee in a cross-border bankruptcy case involving the liquidation</w:t>
      </w:r>
      <w:r>
        <w:rPr>
          <w:color w:val="6E6158"/>
          <w:spacing w:val="80"/>
        </w:rPr>
        <w:t> </w:t>
      </w:r>
      <w:r>
        <w:rPr>
          <w:color w:val="6E6158"/>
        </w:rPr>
        <w:t>of a portfolio of property, including interests in the Mexico real estate holdings of a failed</w:t>
      </w:r>
      <w:r>
        <w:rPr>
          <w:color w:val="6E6158"/>
          <w:spacing w:val="40"/>
        </w:rPr>
        <w:t> </w:t>
      </w:r>
      <w:r>
        <w:rPr>
          <w:color w:val="6E6158"/>
        </w:rPr>
        <w:t>American development company.</w:t>
      </w:r>
    </w:p>
    <w:p>
      <w:pPr>
        <w:pStyle w:val="BodyText"/>
        <w:spacing w:line="292" w:lineRule="auto" w:before="118"/>
      </w:pPr>
      <w:r>
        <w:rPr>
          <w:color w:val="6E6158"/>
        </w:rPr>
        <w:t>Represented the founder and principal of a surgical device design company in the </w:t>
      </w:r>
      <w:r>
        <w:rPr>
          <w:color w:val="6E6158"/>
        </w:rPr>
        <w:t>company’s</w:t>
      </w:r>
      <w:r>
        <w:rPr>
          <w:color w:val="6E6158"/>
          <w:spacing w:val="40"/>
        </w:rPr>
        <w:t> </w:t>
      </w:r>
      <w:r>
        <w:rPr>
          <w:color w:val="6E6158"/>
        </w:rPr>
        <w:t>Chapter 11 bankruptcy case.</w:t>
      </w:r>
    </w:p>
    <w:p>
      <w:pPr>
        <w:pStyle w:val="BodyText"/>
        <w:spacing w:line="292" w:lineRule="auto" w:before="131"/>
        <w:ind w:right="588"/>
      </w:pPr>
      <w:r>
        <w:rPr>
          <w:color w:val="6E6158"/>
        </w:rPr>
        <w:t>Represented a priority creditor in the preservation and collection of a </w:t>
      </w:r>
      <w:r>
        <w:rPr>
          <w:color w:val="6E6158"/>
        </w:rPr>
        <w:t>nondischargeable judgment through a structured settlement.</w:t>
      </w:r>
    </w:p>
    <w:p>
      <w:pPr>
        <w:pStyle w:val="BodyText"/>
        <w:spacing w:before="112"/>
        <w:ind w:left="0"/>
        <w:rPr>
          <w:sz w:val="24"/>
        </w:rPr>
      </w:pPr>
    </w:p>
    <w:p>
      <w:pPr>
        <w:pStyle w:val="Heading1"/>
      </w:pPr>
      <w:r>
        <w:rPr>
          <w:color w:val="FF8100"/>
        </w:rPr>
        <w:t>ARTICLES</w:t>
      </w:r>
      <w:r>
        <w:rPr>
          <w:color w:val="FF8100"/>
          <w:spacing w:val="8"/>
        </w:rPr>
        <w:t> </w:t>
      </w:r>
      <w:r>
        <w:rPr>
          <w:color w:val="FF8100"/>
        </w:rPr>
        <w:t>AND</w:t>
      </w:r>
      <w:r>
        <w:rPr>
          <w:color w:val="FF8100"/>
          <w:spacing w:val="9"/>
        </w:rPr>
        <w:t> </w:t>
      </w:r>
      <w:r>
        <w:rPr>
          <w:color w:val="FF8100"/>
          <w:spacing w:val="-2"/>
        </w:rPr>
        <w:t>PRESENTATIONS</w:t>
      </w:r>
    </w:p>
    <w:p>
      <w:pPr>
        <w:pStyle w:val="BodyText"/>
        <w:spacing w:before="28"/>
        <w:ind w:left="0"/>
        <w:rPr>
          <w:b/>
        </w:rPr>
      </w:pPr>
    </w:p>
    <w:p>
      <w:pPr>
        <w:pStyle w:val="BodyText"/>
        <w:spacing w:line="292" w:lineRule="auto"/>
      </w:pPr>
      <w:r>
        <w:rPr>
          <w:color w:val="6E6158"/>
        </w:rPr>
        <w:t>Presenter, “Breweries and Wineries in Subchapter V,” California Bankruptcy Forum </w:t>
      </w:r>
      <w:r>
        <w:rPr>
          <w:color w:val="6E6158"/>
        </w:rPr>
        <w:t>Annual Conference, May 16, 2026</w:t>
      </w:r>
    </w:p>
    <w:p>
      <w:pPr>
        <w:pStyle w:val="BodyText"/>
        <w:spacing w:after="0" w:line="292" w:lineRule="auto"/>
        <w:sectPr>
          <w:pgSz w:w="12240" w:h="15840"/>
          <w:pgMar w:top="500" w:bottom="280" w:left="1440" w:right="1440"/>
        </w:sectPr>
      </w:pPr>
    </w:p>
    <w:p>
      <w:pPr>
        <w:pStyle w:val="BodyText"/>
        <w:spacing w:before="83"/>
      </w:pPr>
      <w:r>
        <w:rPr>
          <w:color w:val="6E6158"/>
        </w:rPr>
        <w:t>Presenter,</w:t>
      </w:r>
      <w:r>
        <w:rPr>
          <w:color w:val="6E6158"/>
          <w:spacing w:val="10"/>
        </w:rPr>
        <w:t> </w:t>
      </w:r>
      <w:r>
        <w:rPr>
          <w:color w:val="6E6158"/>
        </w:rPr>
        <w:t>“The</w:t>
      </w:r>
      <w:r>
        <w:rPr>
          <w:color w:val="6E6158"/>
          <w:spacing w:val="10"/>
        </w:rPr>
        <w:t> </w:t>
      </w:r>
      <w:r>
        <w:rPr>
          <w:color w:val="6E6158"/>
        </w:rPr>
        <w:t>ABC</w:t>
      </w:r>
      <w:r>
        <w:rPr>
          <w:color w:val="6E6158"/>
          <w:spacing w:val="11"/>
        </w:rPr>
        <w:t> </w:t>
      </w:r>
      <w:r>
        <w:rPr>
          <w:color w:val="6E6158"/>
        </w:rPr>
        <w:t>of</w:t>
      </w:r>
      <w:r>
        <w:rPr>
          <w:color w:val="6E6158"/>
          <w:spacing w:val="10"/>
        </w:rPr>
        <w:t> </w:t>
      </w:r>
      <w:r>
        <w:rPr>
          <w:color w:val="6E6158"/>
        </w:rPr>
        <w:t>ABCs,”</w:t>
      </w:r>
      <w:r>
        <w:rPr>
          <w:color w:val="6E6158"/>
          <w:spacing w:val="11"/>
        </w:rPr>
        <w:t> </w:t>
      </w:r>
      <w:r>
        <w:rPr>
          <w:color w:val="6E6158"/>
        </w:rPr>
        <w:t>San</w:t>
      </w:r>
      <w:r>
        <w:rPr>
          <w:color w:val="6E6158"/>
          <w:spacing w:val="10"/>
        </w:rPr>
        <w:t> </w:t>
      </w:r>
      <w:r>
        <w:rPr>
          <w:color w:val="6E6158"/>
        </w:rPr>
        <w:t>Diego</w:t>
      </w:r>
      <w:r>
        <w:rPr>
          <w:color w:val="6E6158"/>
          <w:spacing w:val="10"/>
        </w:rPr>
        <w:t> </w:t>
      </w:r>
      <w:r>
        <w:rPr>
          <w:color w:val="6E6158"/>
        </w:rPr>
        <w:t>Bankruptcy</w:t>
      </w:r>
      <w:r>
        <w:rPr>
          <w:color w:val="6E6158"/>
          <w:spacing w:val="11"/>
        </w:rPr>
        <w:t> </w:t>
      </w:r>
      <w:r>
        <w:rPr>
          <w:color w:val="6E6158"/>
        </w:rPr>
        <w:t>Forum,</w:t>
      </w:r>
      <w:r>
        <w:rPr>
          <w:color w:val="6E6158"/>
          <w:spacing w:val="10"/>
        </w:rPr>
        <w:t> </w:t>
      </w:r>
      <w:r>
        <w:rPr>
          <w:color w:val="6E6158"/>
        </w:rPr>
        <w:t>September</w:t>
      </w:r>
      <w:r>
        <w:rPr>
          <w:color w:val="6E6158"/>
          <w:spacing w:val="10"/>
        </w:rPr>
        <w:t> </w:t>
      </w:r>
      <w:r>
        <w:rPr>
          <w:color w:val="6E6158"/>
        </w:rPr>
        <w:t>9,</w:t>
      </w:r>
      <w:r>
        <w:rPr>
          <w:color w:val="6E6158"/>
          <w:spacing w:val="11"/>
        </w:rPr>
        <w:t> </w:t>
      </w:r>
      <w:r>
        <w:rPr>
          <w:color w:val="6E6158"/>
          <w:spacing w:val="-4"/>
        </w:rPr>
        <w:t>2025</w:t>
      </w:r>
    </w:p>
    <w:p>
      <w:pPr>
        <w:pStyle w:val="BodyText"/>
        <w:spacing w:line="302" w:lineRule="auto" w:before="174"/>
        <w:ind w:right="246"/>
      </w:pPr>
      <w:r>
        <w:rPr>
          <w:color w:val="6E6158"/>
        </w:rPr>
        <w:t>Presenter, “Swimming Smoothly Around the Rocky Shoals of Litigation,” California </w:t>
      </w:r>
      <w:r>
        <w:rPr>
          <w:color w:val="6E6158"/>
        </w:rPr>
        <w:t>Bankruptcy Forum’s Annual Conference, May 18, 2024</w:t>
      </w:r>
    </w:p>
    <w:p>
      <w:pPr>
        <w:pStyle w:val="BodyText"/>
        <w:spacing w:before="113"/>
      </w:pPr>
      <w:r>
        <w:rPr>
          <w:color w:val="6E6158"/>
        </w:rPr>
        <w:t>Presenter,</w:t>
      </w:r>
      <w:r>
        <w:rPr>
          <w:color w:val="6E6158"/>
          <w:spacing w:val="8"/>
        </w:rPr>
        <w:t> </w:t>
      </w:r>
      <w:r>
        <w:rPr>
          <w:color w:val="6E6158"/>
        </w:rPr>
        <w:t>San</w:t>
      </w:r>
      <w:r>
        <w:rPr>
          <w:color w:val="6E6158"/>
          <w:spacing w:val="9"/>
        </w:rPr>
        <w:t> </w:t>
      </w:r>
      <w:r>
        <w:rPr>
          <w:color w:val="6E6158"/>
        </w:rPr>
        <w:t>Diego</w:t>
      </w:r>
      <w:r>
        <w:rPr>
          <w:color w:val="6E6158"/>
          <w:spacing w:val="9"/>
        </w:rPr>
        <w:t> </w:t>
      </w:r>
      <w:r>
        <w:rPr>
          <w:color w:val="6E6158"/>
        </w:rPr>
        <w:t>Craft</w:t>
      </w:r>
      <w:r>
        <w:rPr>
          <w:color w:val="6E6158"/>
          <w:spacing w:val="8"/>
        </w:rPr>
        <w:t> </w:t>
      </w:r>
      <w:r>
        <w:rPr>
          <w:color w:val="6E6158"/>
        </w:rPr>
        <w:t>Beer</w:t>
      </w:r>
      <w:r>
        <w:rPr>
          <w:color w:val="6E6158"/>
          <w:spacing w:val="9"/>
        </w:rPr>
        <w:t> </w:t>
      </w:r>
      <w:r>
        <w:rPr>
          <w:color w:val="6E6158"/>
        </w:rPr>
        <w:t>Con,</w:t>
      </w:r>
      <w:r>
        <w:rPr>
          <w:color w:val="6E6158"/>
          <w:spacing w:val="9"/>
        </w:rPr>
        <w:t> </w:t>
      </w:r>
      <w:r>
        <w:rPr>
          <w:color w:val="6E6158"/>
        </w:rPr>
        <w:t>SD</w:t>
      </w:r>
      <w:r>
        <w:rPr>
          <w:color w:val="6E6158"/>
          <w:spacing w:val="9"/>
        </w:rPr>
        <w:t> </w:t>
      </w:r>
      <w:r>
        <w:rPr>
          <w:color w:val="6E6158"/>
        </w:rPr>
        <w:t>Brewers</w:t>
      </w:r>
      <w:r>
        <w:rPr>
          <w:color w:val="6E6158"/>
          <w:spacing w:val="8"/>
        </w:rPr>
        <w:t> </w:t>
      </w:r>
      <w:r>
        <w:rPr>
          <w:color w:val="6E6158"/>
        </w:rPr>
        <w:t>Guild,</w:t>
      </w:r>
      <w:r>
        <w:rPr>
          <w:color w:val="6E6158"/>
          <w:spacing w:val="9"/>
        </w:rPr>
        <w:t> </w:t>
      </w:r>
      <w:r>
        <w:rPr>
          <w:color w:val="6E6158"/>
        </w:rPr>
        <w:t>August</w:t>
      </w:r>
      <w:r>
        <w:rPr>
          <w:color w:val="6E6158"/>
          <w:spacing w:val="9"/>
        </w:rPr>
        <w:t> </w:t>
      </w:r>
      <w:r>
        <w:rPr>
          <w:color w:val="6E6158"/>
        </w:rPr>
        <w:t>8,</w:t>
      </w:r>
      <w:r>
        <w:rPr>
          <w:color w:val="6E6158"/>
          <w:spacing w:val="8"/>
        </w:rPr>
        <w:t> </w:t>
      </w:r>
      <w:r>
        <w:rPr>
          <w:color w:val="6E6158"/>
          <w:spacing w:val="-4"/>
        </w:rPr>
        <w:t>2023</w:t>
      </w:r>
    </w:p>
    <w:p>
      <w:pPr>
        <w:pStyle w:val="BodyText"/>
        <w:spacing w:line="292" w:lineRule="auto" w:before="174"/>
        <w:ind w:right="246"/>
      </w:pPr>
      <w:r>
        <w:rPr>
          <w:color w:val="6E6158"/>
        </w:rPr>
        <w:t>Presenter, “Navigating a Challenging Market,” California Craft Brewers Association’s </w:t>
      </w:r>
      <w:r>
        <w:rPr>
          <w:color w:val="6E6158"/>
        </w:rPr>
        <w:t>California Craft Beer Summit, March 2023</w:t>
      </w:r>
    </w:p>
    <w:p>
      <w:pPr>
        <w:pStyle w:val="BodyText"/>
        <w:spacing w:before="131"/>
      </w:pPr>
      <w:r>
        <w:rPr>
          <w:color w:val="6E6158"/>
        </w:rPr>
        <w:t>Presenter,</w:t>
      </w:r>
      <w:r>
        <w:rPr>
          <w:color w:val="6E6158"/>
          <w:spacing w:val="12"/>
        </w:rPr>
        <w:t> </w:t>
      </w:r>
      <w:r>
        <w:rPr>
          <w:color w:val="6E6158"/>
        </w:rPr>
        <w:t>California</w:t>
      </w:r>
      <w:r>
        <w:rPr>
          <w:color w:val="6E6158"/>
          <w:spacing w:val="13"/>
        </w:rPr>
        <w:t> </w:t>
      </w:r>
      <w:r>
        <w:rPr>
          <w:color w:val="6E6158"/>
        </w:rPr>
        <w:t>Craft</w:t>
      </w:r>
      <w:r>
        <w:rPr>
          <w:color w:val="6E6158"/>
          <w:spacing w:val="13"/>
        </w:rPr>
        <w:t> </w:t>
      </w:r>
      <w:r>
        <w:rPr>
          <w:color w:val="6E6158"/>
        </w:rPr>
        <w:t>Beer</w:t>
      </w:r>
      <w:r>
        <w:rPr>
          <w:color w:val="6E6158"/>
          <w:spacing w:val="13"/>
        </w:rPr>
        <w:t> </w:t>
      </w:r>
      <w:r>
        <w:rPr>
          <w:color w:val="6E6158"/>
        </w:rPr>
        <w:t>Summit,</w:t>
      </w:r>
      <w:r>
        <w:rPr>
          <w:color w:val="6E6158"/>
          <w:spacing w:val="13"/>
        </w:rPr>
        <w:t> </w:t>
      </w:r>
      <w:r>
        <w:rPr>
          <w:color w:val="6E6158"/>
        </w:rPr>
        <w:t>California</w:t>
      </w:r>
      <w:r>
        <w:rPr>
          <w:color w:val="6E6158"/>
          <w:spacing w:val="13"/>
        </w:rPr>
        <w:t> </w:t>
      </w:r>
      <w:r>
        <w:rPr>
          <w:color w:val="6E6158"/>
        </w:rPr>
        <w:t>Craft</w:t>
      </w:r>
      <w:r>
        <w:rPr>
          <w:color w:val="6E6158"/>
          <w:spacing w:val="13"/>
        </w:rPr>
        <w:t> </w:t>
      </w:r>
      <w:r>
        <w:rPr>
          <w:color w:val="6E6158"/>
        </w:rPr>
        <w:t>Brewers</w:t>
      </w:r>
      <w:r>
        <w:rPr>
          <w:color w:val="6E6158"/>
          <w:spacing w:val="13"/>
        </w:rPr>
        <w:t> </w:t>
      </w:r>
      <w:r>
        <w:rPr>
          <w:color w:val="6E6158"/>
        </w:rPr>
        <w:t>Association,</w:t>
      </w:r>
      <w:r>
        <w:rPr>
          <w:color w:val="6E6158"/>
          <w:spacing w:val="13"/>
        </w:rPr>
        <w:t> </w:t>
      </w:r>
      <w:r>
        <w:rPr>
          <w:color w:val="6E6158"/>
        </w:rPr>
        <w:t>March</w:t>
      </w:r>
      <w:r>
        <w:rPr>
          <w:color w:val="6E6158"/>
          <w:spacing w:val="13"/>
        </w:rPr>
        <w:t> </w:t>
      </w:r>
      <w:r>
        <w:rPr>
          <w:color w:val="6E6158"/>
        </w:rPr>
        <w:t>21,</w:t>
      </w:r>
      <w:r>
        <w:rPr>
          <w:color w:val="6E6158"/>
          <w:spacing w:val="13"/>
        </w:rPr>
        <w:t> </w:t>
      </w:r>
      <w:r>
        <w:rPr>
          <w:color w:val="6E6158"/>
          <w:spacing w:val="-4"/>
        </w:rPr>
        <w:t>2023</w:t>
      </w:r>
    </w:p>
    <w:p>
      <w:pPr>
        <w:pStyle w:val="BodyText"/>
        <w:spacing w:line="292" w:lineRule="auto" w:before="174"/>
        <w:ind w:right="129"/>
      </w:pPr>
      <w:r>
        <w:rPr>
          <w:color w:val="6E6158"/>
        </w:rPr>
        <w:t>Presenter, “What You Need to Know About the Small Business Reorganization Act,” San Diego Building Industry Supplier Credit Group, January 25, 2023</w:t>
      </w:r>
    </w:p>
    <w:p>
      <w:pPr>
        <w:pStyle w:val="BodyText"/>
        <w:spacing w:line="297" w:lineRule="auto" w:before="124"/>
      </w:pPr>
      <w:r>
        <w:rPr>
          <w:color w:val="6E6158"/>
        </w:rPr>
        <w:t>Presenter, “What You Need to Know About the Small Business Reorganization Act,” National Association of Credit Management’s San Diego Building Industry Supplier Credit Group </w:t>
      </w:r>
      <w:r>
        <w:rPr>
          <w:color w:val="6E6158"/>
        </w:rPr>
        <w:t>Meeting,</w:t>
      </w:r>
      <w:r>
        <w:rPr>
          <w:color w:val="6E6158"/>
          <w:spacing w:val="40"/>
        </w:rPr>
        <w:t> </w:t>
      </w:r>
      <w:r>
        <w:rPr>
          <w:color w:val="6E6158"/>
        </w:rPr>
        <w:t>January 2023</w:t>
      </w:r>
    </w:p>
    <w:p>
      <w:pPr>
        <w:pStyle w:val="BodyText"/>
        <w:spacing w:line="292" w:lineRule="auto" w:before="118"/>
        <w:ind w:right="129"/>
      </w:pPr>
      <w:r>
        <w:rPr>
          <w:color w:val="6E6158"/>
        </w:rPr>
        <w:t>Presenter, “Tap Into Knowledge: Financial Distress in the Craft Beer Industry,” San Diego Brewers Guild, December 2022</w:t>
      </w:r>
    </w:p>
    <w:p>
      <w:pPr>
        <w:pStyle w:val="BodyText"/>
        <w:spacing w:line="292" w:lineRule="auto" w:before="131"/>
        <w:ind w:right="246"/>
      </w:pPr>
      <w:r>
        <w:rPr>
          <w:color w:val="6E6158"/>
        </w:rPr>
        <w:t>Presenter, “The Uniform Commercial Code (UCC) in Bankruptcy,” San Diego County </w:t>
      </w:r>
      <w:r>
        <w:rPr>
          <w:color w:val="6E6158"/>
        </w:rPr>
        <w:t>Bar Association, May 5, 2022</w:t>
      </w:r>
    </w:p>
    <w:p>
      <w:pPr>
        <w:pStyle w:val="BodyText"/>
        <w:spacing w:before="123"/>
      </w:pPr>
      <w:r>
        <w:rPr>
          <w:color w:val="6E6158"/>
        </w:rPr>
        <w:t>Author,</w:t>
      </w:r>
      <w:r>
        <w:rPr>
          <w:color w:val="6E6158"/>
          <w:spacing w:val="10"/>
        </w:rPr>
        <w:t> </w:t>
      </w:r>
      <w:r>
        <w:rPr>
          <w:color w:val="6E6158"/>
        </w:rPr>
        <w:t>“In</w:t>
      </w:r>
      <w:r>
        <w:rPr>
          <w:color w:val="6E6158"/>
          <w:spacing w:val="10"/>
        </w:rPr>
        <w:t> </w:t>
      </w:r>
      <w:r>
        <w:rPr>
          <w:color w:val="6E6158"/>
        </w:rPr>
        <w:t>re</w:t>
      </w:r>
      <w:r>
        <w:rPr>
          <w:color w:val="6E6158"/>
          <w:spacing w:val="10"/>
        </w:rPr>
        <w:t> </w:t>
      </w:r>
      <w:r>
        <w:rPr>
          <w:color w:val="6E6158"/>
        </w:rPr>
        <w:t>Astria</w:t>
      </w:r>
      <w:r>
        <w:rPr>
          <w:color w:val="6E6158"/>
          <w:spacing w:val="10"/>
        </w:rPr>
        <w:t> </w:t>
      </w:r>
      <w:r>
        <w:rPr>
          <w:color w:val="6E6158"/>
        </w:rPr>
        <w:t>Health,”</w:t>
      </w:r>
      <w:r>
        <w:rPr>
          <w:color w:val="6E6158"/>
          <w:spacing w:val="10"/>
        </w:rPr>
        <w:t> </w:t>
      </w:r>
      <w:r>
        <w:rPr>
          <w:color w:val="6E6158"/>
        </w:rPr>
        <w:t>Commercial</w:t>
      </w:r>
      <w:r>
        <w:rPr>
          <w:color w:val="6E6158"/>
          <w:spacing w:val="10"/>
        </w:rPr>
        <w:t> </w:t>
      </w:r>
      <w:r>
        <w:rPr>
          <w:color w:val="6E6158"/>
        </w:rPr>
        <w:t>Finance</w:t>
      </w:r>
      <w:r>
        <w:rPr>
          <w:color w:val="6E6158"/>
          <w:spacing w:val="10"/>
        </w:rPr>
        <w:t> </w:t>
      </w:r>
      <w:r>
        <w:rPr>
          <w:color w:val="6E6158"/>
        </w:rPr>
        <w:t>Newsletter</w:t>
      </w:r>
      <w:r>
        <w:rPr>
          <w:color w:val="6E6158"/>
          <w:spacing w:val="10"/>
        </w:rPr>
        <w:t> </w:t>
      </w:r>
      <w:r>
        <w:rPr>
          <w:color w:val="6E6158"/>
        </w:rPr>
        <w:t>by</w:t>
      </w:r>
      <w:r>
        <w:rPr>
          <w:color w:val="6E6158"/>
          <w:spacing w:val="11"/>
        </w:rPr>
        <w:t> </w:t>
      </w:r>
      <w:r>
        <w:rPr>
          <w:color w:val="6E6158"/>
        </w:rPr>
        <w:t>Westlaw,</w:t>
      </w:r>
      <w:r>
        <w:rPr>
          <w:color w:val="6E6158"/>
          <w:spacing w:val="10"/>
        </w:rPr>
        <w:t> </w:t>
      </w:r>
      <w:r>
        <w:rPr>
          <w:color w:val="6E6158"/>
          <w:spacing w:val="-4"/>
        </w:rPr>
        <w:t>2021</w:t>
      </w:r>
    </w:p>
    <w:p>
      <w:pPr>
        <w:pStyle w:val="BodyText"/>
        <w:spacing w:line="292" w:lineRule="auto" w:before="182"/>
      </w:pPr>
      <w:r>
        <w:rPr>
          <w:color w:val="6E6158"/>
        </w:rPr>
        <w:t>Author, “In re Porter,” Commercial Finance Newsletter by Westlaw and in the Insolvency Law Committee eBulletin by the California Lawyers Association, 2021</w:t>
      </w:r>
    </w:p>
    <w:p>
      <w:pPr>
        <w:pStyle w:val="BodyText"/>
        <w:spacing w:line="297" w:lineRule="auto" w:before="124"/>
        <w:ind w:right="246"/>
      </w:pPr>
      <w:r>
        <w:rPr>
          <w:color w:val="6E6158"/>
        </w:rPr>
        <w:t>Author, “Bankruptcy Court Finds Cross-Collateralization Provision in Separate Loan </w:t>
      </w:r>
      <w:r>
        <w:rPr>
          <w:color w:val="6E6158"/>
        </w:rPr>
        <w:t>Transactions Valid and Effective (In re Porter),” Commercial Finance Newsletter by Westlaw and in the Commercial</w:t>
      </w:r>
      <w:r>
        <w:rPr>
          <w:color w:val="6E6158"/>
          <w:spacing w:val="40"/>
        </w:rPr>
        <w:t> </w:t>
      </w:r>
      <w:r>
        <w:rPr>
          <w:color w:val="6E6158"/>
        </w:rPr>
        <w:t>Transactions</w:t>
      </w:r>
      <w:r>
        <w:rPr>
          <w:color w:val="6E6158"/>
          <w:spacing w:val="40"/>
        </w:rPr>
        <w:t> </w:t>
      </w:r>
      <w:r>
        <w:rPr>
          <w:color w:val="6E6158"/>
        </w:rPr>
        <w:t>Committee</w:t>
      </w:r>
      <w:r>
        <w:rPr>
          <w:color w:val="6E6158"/>
          <w:spacing w:val="40"/>
        </w:rPr>
        <w:t> </w:t>
      </w:r>
      <w:r>
        <w:rPr>
          <w:color w:val="6E6158"/>
        </w:rPr>
        <w:t>eBulletin</w:t>
      </w:r>
      <w:r>
        <w:rPr>
          <w:color w:val="6E6158"/>
          <w:spacing w:val="40"/>
        </w:rPr>
        <w:t> </w:t>
      </w:r>
      <w:r>
        <w:rPr>
          <w:color w:val="6E6158"/>
        </w:rPr>
        <w:t>by</w:t>
      </w:r>
      <w:r>
        <w:rPr>
          <w:color w:val="6E6158"/>
          <w:spacing w:val="40"/>
        </w:rPr>
        <w:t> </w:t>
      </w:r>
      <w:r>
        <w:rPr>
          <w:color w:val="6E6158"/>
        </w:rPr>
        <w:t>the</w:t>
      </w:r>
      <w:r>
        <w:rPr>
          <w:color w:val="6E6158"/>
          <w:spacing w:val="40"/>
        </w:rPr>
        <w:t> </w:t>
      </w:r>
      <w:r>
        <w:rPr>
          <w:color w:val="6E6158"/>
        </w:rPr>
        <w:t>California</w:t>
      </w:r>
      <w:r>
        <w:rPr>
          <w:color w:val="6E6158"/>
          <w:spacing w:val="40"/>
        </w:rPr>
        <w:t> </w:t>
      </w:r>
      <w:r>
        <w:rPr>
          <w:color w:val="6E6158"/>
        </w:rPr>
        <w:t>Lawyers</w:t>
      </w:r>
      <w:r>
        <w:rPr>
          <w:color w:val="6E6158"/>
          <w:spacing w:val="40"/>
        </w:rPr>
        <w:t> </w:t>
      </w:r>
      <w:r>
        <w:rPr>
          <w:color w:val="6E6158"/>
        </w:rPr>
        <w:t>Association,</w:t>
      </w:r>
      <w:r>
        <w:rPr>
          <w:color w:val="6E6158"/>
          <w:spacing w:val="40"/>
        </w:rPr>
        <w:t> </w:t>
      </w:r>
      <w:r>
        <w:rPr>
          <w:color w:val="6E6158"/>
        </w:rPr>
        <w:t>2020</w:t>
      </w:r>
    </w:p>
    <w:p>
      <w:pPr>
        <w:pStyle w:val="BodyText"/>
        <w:spacing w:line="292" w:lineRule="auto" w:before="118"/>
        <w:ind w:right="212"/>
        <w:jc w:val="both"/>
      </w:pPr>
      <w:r>
        <w:rPr>
          <w:color w:val="6E6158"/>
        </w:rPr>
        <w:t>Second Case Review of “MOAC Mall Holdings LLC. v. Transform Holdco LLC (In re Sears Holdings Corporation),” Commercial Finance Newsletter by Westlaw and in the Commercial Transactions Committee eBulletin by the California Lawyers Association, 2020</w:t>
      </w:r>
    </w:p>
    <w:p>
      <w:pPr>
        <w:pStyle w:val="BodyText"/>
        <w:spacing w:before="132"/>
        <w:jc w:val="both"/>
      </w:pPr>
      <w:r>
        <w:rPr>
          <w:color w:val="6E6158"/>
        </w:rPr>
        <w:t>Case</w:t>
      </w:r>
      <w:r>
        <w:rPr>
          <w:color w:val="6E6158"/>
          <w:spacing w:val="10"/>
        </w:rPr>
        <w:t> </w:t>
      </w:r>
      <w:r>
        <w:rPr>
          <w:color w:val="6E6158"/>
        </w:rPr>
        <w:t>Review</w:t>
      </w:r>
      <w:r>
        <w:rPr>
          <w:color w:val="6E6158"/>
          <w:spacing w:val="10"/>
        </w:rPr>
        <w:t> </w:t>
      </w:r>
      <w:r>
        <w:rPr>
          <w:color w:val="6E6158"/>
        </w:rPr>
        <w:t>of</w:t>
      </w:r>
      <w:r>
        <w:rPr>
          <w:color w:val="6E6158"/>
          <w:spacing w:val="10"/>
        </w:rPr>
        <w:t> </w:t>
      </w:r>
      <w:r>
        <w:rPr>
          <w:color w:val="6E6158"/>
        </w:rPr>
        <w:t>“MOAC</w:t>
      </w:r>
      <w:r>
        <w:rPr>
          <w:color w:val="6E6158"/>
          <w:spacing w:val="10"/>
        </w:rPr>
        <w:t> </w:t>
      </w:r>
      <w:r>
        <w:rPr>
          <w:color w:val="6E6158"/>
        </w:rPr>
        <w:t>Mall</w:t>
      </w:r>
      <w:r>
        <w:rPr>
          <w:color w:val="6E6158"/>
          <w:spacing w:val="10"/>
        </w:rPr>
        <w:t> </w:t>
      </w:r>
      <w:r>
        <w:rPr>
          <w:color w:val="6E6158"/>
        </w:rPr>
        <w:t>Holdings</w:t>
      </w:r>
      <w:r>
        <w:rPr>
          <w:color w:val="6E6158"/>
          <w:spacing w:val="11"/>
        </w:rPr>
        <w:t> </w:t>
      </w:r>
      <w:r>
        <w:rPr>
          <w:color w:val="6E6158"/>
        </w:rPr>
        <w:t>LLC.</w:t>
      </w:r>
      <w:r>
        <w:rPr>
          <w:color w:val="6E6158"/>
          <w:spacing w:val="10"/>
        </w:rPr>
        <w:t> </w:t>
      </w:r>
      <w:r>
        <w:rPr>
          <w:color w:val="6E6158"/>
        </w:rPr>
        <w:t>v.</w:t>
      </w:r>
      <w:r>
        <w:rPr>
          <w:color w:val="6E6158"/>
          <w:spacing w:val="10"/>
        </w:rPr>
        <w:t> </w:t>
      </w:r>
      <w:r>
        <w:rPr>
          <w:color w:val="6E6158"/>
        </w:rPr>
        <w:t>Transform</w:t>
      </w:r>
      <w:r>
        <w:rPr>
          <w:color w:val="6E6158"/>
          <w:spacing w:val="10"/>
        </w:rPr>
        <w:t> </w:t>
      </w:r>
      <w:r>
        <w:rPr>
          <w:color w:val="6E6158"/>
        </w:rPr>
        <w:t>Holdco</w:t>
      </w:r>
      <w:r>
        <w:rPr>
          <w:color w:val="6E6158"/>
          <w:spacing w:val="10"/>
        </w:rPr>
        <w:t> </w:t>
      </w:r>
      <w:r>
        <w:rPr>
          <w:color w:val="6E6158"/>
        </w:rPr>
        <w:t>LLC</w:t>
      </w:r>
      <w:r>
        <w:rPr>
          <w:color w:val="6E6158"/>
          <w:spacing w:val="10"/>
        </w:rPr>
        <w:t> </w:t>
      </w:r>
      <w:r>
        <w:rPr>
          <w:color w:val="6E6158"/>
        </w:rPr>
        <w:t>(In</w:t>
      </w:r>
      <w:r>
        <w:rPr>
          <w:color w:val="6E6158"/>
          <w:spacing w:val="11"/>
        </w:rPr>
        <w:t> </w:t>
      </w:r>
      <w:r>
        <w:rPr>
          <w:color w:val="6E6158"/>
        </w:rPr>
        <w:t>re</w:t>
      </w:r>
      <w:r>
        <w:rPr>
          <w:color w:val="6E6158"/>
          <w:spacing w:val="10"/>
        </w:rPr>
        <w:t> </w:t>
      </w:r>
      <w:r>
        <w:rPr>
          <w:color w:val="6E6158"/>
        </w:rPr>
        <w:t>Sears</w:t>
      </w:r>
      <w:r>
        <w:rPr>
          <w:color w:val="6E6158"/>
          <w:spacing w:val="10"/>
        </w:rPr>
        <w:t> </w:t>
      </w:r>
      <w:r>
        <w:rPr>
          <w:color w:val="6E6158"/>
          <w:spacing w:val="-2"/>
        </w:rPr>
        <w:t>Holdings</w:t>
      </w:r>
    </w:p>
    <w:p>
      <w:pPr>
        <w:pStyle w:val="BodyText"/>
        <w:spacing w:line="292" w:lineRule="auto" w:before="52"/>
        <w:ind w:right="129"/>
      </w:pPr>
      <w:r>
        <w:rPr>
          <w:color w:val="6E6158"/>
        </w:rPr>
        <w:t>Corporation),” Commercial Finance Newsletter by Westlaw and in the Commercial </w:t>
      </w:r>
      <w:r>
        <w:rPr>
          <w:color w:val="6E6158"/>
        </w:rPr>
        <w:t>Transactions Committee eBulletin by the California Lawyers Association, 2020</w:t>
      </w:r>
    </w:p>
    <w:p>
      <w:pPr>
        <w:pStyle w:val="BodyText"/>
        <w:spacing w:line="302" w:lineRule="auto" w:before="123"/>
        <w:ind w:right="588"/>
      </w:pPr>
      <w:r>
        <w:rPr>
          <w:color w:val="6E6158"/>
        </w:rPr>
        <w:t>Author, “Creditor’s Veil-piercing Claim Not Barred by Prior Receivership. Aaron Carlson Corporation</w:t>
      </w:r>
      <w:r>
        <w:rPr>
          <w:color w:val="6E6158"/>
          <w:spacing w:val="13"/>
        </w:rPr>
        <w:t> </w:t>
      </w:r>
      <w:r>
        <w:rPr>
          <w:color w:val="6E6158"/>
        </w:rPr>
        <w:t>v.</w:t>
      </w:r>
      <w:r>
        <w:rPr>
          <w:color w:val="6E6158"/>
          <w:spacing w:val="13"/>
        </w:rPr>
        <w:t> </w:t>
      </w:r>
      <w:r>
        <w:rPr>
          <w:color w:val="6E6158"/>
        </w:rPr>
        <w:t>Cohen,”</w:t>
      </w:r>
      <w:r>
        <w:rPr>
          <w:color w:val="6E6158"/>
          <w:spacing w:val="13"/>
        </w:rPr>
        <w:t> </w:t>
      </w:r>
      <w:r>
        <w:rPr>
          <w:color w:val="6E6158"/>
        </w:rPr>
        <w:t>Commercial</w:t>
      </w:r>
      <w:r>
        <w:rPr>
          <w:color w:val="6E6158"/>
          <w:spacing w:val="13"/>
        </w:rPr>
        <w:t> </w:t>
      </w:r>
      <w:r>
        <w:rPr>
          <w:color w:val="6E6158"/>
        </w:rPr>
        <w:t>Finance</w:t>
      </w:r>
      <w:r>
        <w:rPr>
          <w:color w:val="6E6158"/>
          <w:spacing w:val="13"/>
        </w:rPr>
        <w:t> </w:t>
      </w:r>
      <w:r>
        <w:rPr>
          <w:color w:val="6E6158"/>
        </w:rPr>
        <w:t>Newsletter</w:t>
      </w:r>
      <w:r>
        <w:rPr>
          <w:color w:val="6E6158"/>
          <w:spacing w:val="13"/>
        </w:rPr>
        <w:t> </w:t>
      </w:r>
      <w:r>
        <w:rPr>
          <w:color w:val="6E6158"/>
        </w:rPr>
        <w:t>by</w:t>
      </w:r>
      <w:r>
        <w:rPr>
          <w:color w:val="6E6158"/>
          <w:spacing w:val="13"/>
        </w:rPr>
        <w:t> </w:t>
      </w:r>
      <w:r>
        <w:rPr>
          <w:color w:val="6E6158"/>
        </w:rPr>
        <w:t>Westlaw,</w:t>
      </w:r>
      <w:r>
        <w:rPr>
          <w:color w:val="6E6158"/>
          <w:spacing w:val="13"/>
        </w:rPr>
        <w:t> </w:t>
      </w:r>
      <w:r>
        <w:rPr>
          <w:color w:val="6E6158"/>
        </w:rPr>
        <w:t>2019</w:t>
      </w:r>
      <w:r>
        <w:rPr>
          <w:color w:val="6E6158"/>
          <w:spacing w:val="13"/>
        </w:rPr>
        <w:t> </w:t>
      </w:r>
      <w:r>
        <w:rPr>
          <w:color w:val="6E6158"/>
        </w:rPr>
        <w:t>WL</w:t>
      </w:r>
      <w:r>
        <w:rPr>
          <w:color w:val="6E6158"/>
          <w:spacing w:val="14"/>
        </w:rPr>
        <w:t> </w:t>
      </w:r>
      <w:r>
        <w:rPr>
          <w:color w:val="6E6158"/>
          <w:spacing w:val="-2"/>
        </w:rPr>
        <w:t>4282064</w:t>
      </w:r>
    </w:p>
    <w:p>
      <w:pPr>
        <w:pStyle w:val="BodyText"/>
        <w:spacing w:line="292" w:lineRule="auto" w:before="113"/>
        <w:ind w:right="588"/>
      </w:pPr>
      <w:r>
        <w:rPr>
          <w:color w:val="6E6158"/>
        </w:rPr>
        <w:t>Author, “PG&amp;E Chapter 11: Burning Topics for Real Estate Lawyers,” 38th Annual Real Property Law Section Spring Conference, May 2019</w:t>
      </w:r>
    </w:p>
    <w:p>
      <w:pPr>
        <w:pStyle w:val="BodyText"/>
        <w:spacing w:line="292" w:lineRule="auto" w:before="131"/>
      </w:pPr>
      <w:r>
        <w:rPr>
          <w:color w:val="6E6158"/>
        </w:rPr>
        <w:t>Author, “In an Economic Downturn, It Pays to Be in the Golden State,” Los Angeles Daily Journal,</w:t>
      </w:r>
      <w:r>
        <w:rPr>
          <w:color w:val="6E6158"/>
          <w:spacing w:val="40"/>
        </w:rPr>
        <w:t> </w:t>
      </w:r>
      <w:r>
        <w:rPr>
          <w:color w:val="6E6158"/>
        </w:rPr>
        <w:t>November 5, 2008: 7</w:t>
      </w:r>
    </w:p>
    <w:p>
      <w:pPr>
        <w:pStyle w:val="BodyText"/>
        <w:spacing w:line="292" w:lineRule="auto" w:before="123"/>
      </w:pPr>
      <w:r>
        <w:rPr>
          <w:color w:val="6E6158"/>
        </w:rPr>
        <w:t>Author, “Pre-Petition Security Interests and Post-Petition Advances – Beware All Ye Who Enter,” California Bankruptcy Journal, Volume 28, Number 3, 2006</w:t>
      </w:r>
    </w:p>
    <w:p>
      <w:pPr>
        <w:pStyle w:val="BodyText"/>
        <w:spacing w:line="292" w:lineRule="auto" w:before="132"/>
        <w:ind w:right="588"/>
      </w:pPr>
      <w:r>
        <w:rPr>
          <w:color w:val="6E6158"/>
        </w:rPr>
        <w:t>Author, “Calculation of Holdover Rent in a Claim for Commercial Lease Rejection </w:t>
      </w:r>
      <w:r>
        <w:rPr>
          <w:color w:val="6E6158"/>
        </w:rPr>
        <w:t>Damages,” The State Bar of California’s Business Law News, Volume 2, 2005</w:t>
      </w:r>
    </w:p>
    <w:p>
      <w:pPr>
        <w:pStyle w:val="BodyText"/>
        <w:spacing w:line="292" w:lineRule="auto" w:before="123"/>
        <w:ind w:right="129"/>
      </w:pPr>
      <w:r>
        <w:rPr>
          <w:color w:val="6E6158"/>
        </w:rPr>
        <w:t>Author, “The Rooker-Feldman Doctrine and Preclusion in a Nondischargability Proceeding – </w:t>
      </w:r>
      <w:r>
        <w:rPr>
          <w:color w:val="6E6158"/>
        </w:rPr>
        <w:t>Be Careful</w:t>
      </w:r>
      <w:r>
        <w:rPr>
          <w:color w:val="6E6158"/>
          <w:spacing w:val="10"/>
        </w:rPr>
        <w:t> </w:t>
      </w:r>
      <w:r>
        <w:rPr>
          <w:color w:val="6E6158"/>
        </w:rPr>
        <w:t>Where</w:t>
      </w:r>
      <w:r>
        <w:rPr>
          <w:color w:val="6E6158"/>
          <w:spacing w:val="10"/>
        </w:rPr>
        <w:t> </w:t>
      </w:r>
      <w:r>
        <w:rPr>
          <w:color w:val="6E6158"/>
        </w:rPr>
        <w:t>You</w:t>
      </w:r>
      <w:r>
        <w:rPr>
          <w:color w:val="6E6158"/>
          <w:spacing w:val="10"/>
        </w:rPr>
        <w:t> </w:t>
      </w:r>
      <w:r>
        <w:rPr>
          <w:color w:val="6E6158"/>
        </w:rPr>
        <w:t>Draw</w:t>
      </w:r>
      <w:r>
        <w:rPr>
          <w:color w:val="6E6158"/>
          <w:spacing w:val="10"/>
        </w:rPr>
        <w:t> </w:t>
      </w:r>
      <w:r>
        <w:rPr>
          <w:color w:val="6E6158"/>
        </w:rPr>
        <w:t>the</w:t>
      </w:r>
      <w:r>
        <w:rPr>
          <w:color w:val="6E6158"/>
          <w:spacing w:val="10"/>
        </w:rPr>
        <w:t> </w:t>
      </w:r>
      <w:r>
        <w:rPr>
          <w:color w:val="6E6158"/>
        </w:rPr>
        <w:t>Lines,”</w:t>
      </w:r>
      <w:r>
        <w:rPr>
          <w:color w:val="6E6158"/>
          <w:spacing w:val="10"/>
        </w:rPr>
        <w:t> </w:t>
      </w:r>
      <w:r>
        <w:rPr>
          <w:color w:val="6E6158"/>
        </w:rPr>
        <w:t>California</w:t>
      </w:r>
      <w:r>
        <w:rPr>
          <w:color w:val="6E6158"/>
          <w:spacing w:val="10"/>
        </w:rPr>
        <w:t> </w:t>
      </w:r>
      <w:r>
        <w:rPr>
          <w:color w:val="6E6158"/>
        </w:rPr>
        <w:t>Bankruptcy</w:t>
      </w:r>
      <w:r>
        <w:rPr>
          <w:color w:val="6E6158"/>
          <w:spacing w:val="11"/>
        </w:rPr>
        <w:t> </w:t>
      </w:r>
      <w:r>
        <w:rPr>
          <w:color w:val="6E6158"/>
        </w:rPr>
        <w:t>Journal,</w:t>
      </w:r>
      <w:r>
        <w:rPr>
          <w:color w:val="6E6158"/>
          <w:spacing w:val="10"/>
        </w:rPr>
        <w:t> </w:t>
      </w:r>
      <w:r>
        <w:rPr>
          <w:color w:val="6E6158"/>
        </w:rPr>
        <w:t>Volume</w:t>
      </w:r>
      <w:r>
        <w:rPr>
          <w:color w:val="6E6158"/>
          <w:spacing w:val="10"/>
        </w:rPr>
        <w:t> </w:t>
      </w:r>
      <w:r>
        <w:rPr>
          <w:color w:val="6E6158"/>
        </w:rPr>
        <w:t>28,</w:t>
      </w:r>
      <w:r>
        <w:rPr>
          <w:color w:val="6E6158"/>
          <w:spacing w:val="10"/>
        </w:rPr>
        <w:t> </w:t>
      </w:r>
      <w:r>
        <w:rPr>
          <w:color w:val="6E6158"/>
        </w:rPr>
        <w:t>Number</w:t>
      </w:r>
      <w:r>
        <w:rPr>
          <w:color w:val="6E6158"/>
          <w:spacing w:val="10"/>
        </w:rPr>
        <w:t> </w:t>
      </w:r>
      <w:r>
        <w:rPr>
          <w:color w:val="6E6158"/>
        </w:rPr>
        <w:t>1,</w:t>
      </w:r>
      <w:r>
        <w:rPr>
          <w:color w:val="6E6158"/>
          <w:spacing w:val="10"/>
        </w:rPr>
        <w:t> </w:t>
      </w:r>
      <w:r>
        <w:rPr>
          <w:color w:val="6E6158"/>
          <w:spacing w:val="-4"/>
        </w:rPr>
        <w:t>2005</w:t>
      </w:r>
    </w:p>
    <w:p>
      <w:pPr>
        <w:pStyle w:val="BodyText"/>
        <w:spacing w:before="120"/>
        <w:ind w:left="0"/>
        <w:rPr>
          <w:sz w:val="24"/>
        </w:rPr>
      </w:pPr>
    </w:p>
    <w:p>
      <w:pPr>
        <w:pStyle w:val="Heading1"/>
        <w:spacing w:before="1"/>
      </w:pPr>
      <w:r>
        <w:rPr>
          <w:color w:val="FF8100"/>
        </w:rPr>
        <w:t>PROFESSIONAL</w:t>
      </w:r>
      <w:r>
        <w:rPr>
          <w:color w:val="FF8100"/>
          <w:spacing w:val="13"/>
        </w:rPr>
        <w:t> </w:t>
      </w:r>
      <w:r>
        <w:rPr>
          <w:color w:val="FF8100"/>
        </w:rPr>
        <w:t>AND</w:t>
      </w:r>
      <w:r>
        <w:rPr>
          <w:color w:val="FF8100"/>
          <w:spacing w:val="13"/>
        </w:rPr>
        <w:t> </w:t>
      </w:r>
      <w:r>
        <w:rPr>
          <w:color w:val="FF8100"/>
        </w:rPr>
        <w:t>COMMUNITY</w:t>
      </w:r>
      <w:r>
        <w:rPr>
          <w:color w:val="FF8100"/>
          <w:spacing w:val="13"/>
        </w:rPr>
        <w:t> </w:t>
      </w:r>
      <w:r>
        <w:rPr>
          <w:color w:val="FF8100"/>
          <w:spacing w:val="-2"/>
        </w:rPr>
        <w:t>ACTIVITIES</w:t>
      </w:r>
    </w:p>
    <w:p>
      <w:pPr>
        <w:pStyle w:val="Heading1"/>
        <w:spacing w:after="0"/>
        <w:sectPr>
          <w:pgSz w:w="12240" w:h="15840"/>
          <w:pgMar w:top="500" w:bottom="280" w:left="1440" w:right="1440"/>
        </w:sectPr>
      </w:pPr>
    </w:p>
    <w:p>
      <w:pPr>
        <w:pStyle w:val="BodyText"/>
        <w:spacing w:line="422" w:lineRule="auto" w:before="83"/>
        <w:ind w:right="4188"/>
      </w:pPr>
      <w:r>
        <w:rPr>
          <w:color w:val="6E6158"/>
        </w:rPr>
        <w:t>Member, San Diego Bankruptcy Forum (Past </w:t>
      </w:r>
      <w:r>
        <w:rPr>
          <w:color w:val="6E6158"/>
        </w:rPr>
        <w:t>President) Member, San Diego Receivers Forum (Past President) Member, California Bankruptcy Forum (Past President)</w:t>
      </w:r>
    </w:p>
    <w:p>
      <w:pPr>
        <w:pStyle w:val="BodyText"/>
        <w:spacing w:line="232" w:lineRule="exact"/>
      </w:pPr>
      <w:r>
        <w:rPr>
          <w:color w:val="6E6158"/>
        </w:rPr>
        <w:t>Member,</w:t>
      </w:r>
      <w:r>
        <w:rPr>
          <w:color w:val="6E6158"/>
          <w:spacing w:val="11"/>
        </w:rPr>
        <w:t> </w:t>
      </w:r>
      <w:r>
        <w:rPr>
          <w:color w:val="6E6158"/>
        </w:rPr>
        <w:t>California</w:t>
      </w:r>
      <w:r>
        <w:rPr>
          <w:color w:val="6E6158"/>
          <w:spacing w:val="12"/>
        </w:rPr>
        <w:t> </w:t>
      </w:r>
      <w:r>
        <w:rPr>
          <w:color w:val="6E6158"/>
        </w:rPr>
        <w:t>Receiver’s</w:t>
      </w:r>
      <w:r>
        <w:rPr>
          <w:color w:val="6E6158"/>
          <w:spacing w:val="12"/>
        </w:rPr>
        <w:t> </w:t>
      </w:r>
      <w:r>
        <w:rPr>
          <w:color w:val="6E6158"/>
        </w:rPr>
        <w:t>Forum</w:t>
      </w:r>
      <w:r>
        <w:rPr>
          <w:color w:val="6E6158"/>
          <w:spacing w:val="12"/>
        </w:rPr>
        <w:t> </w:t>
      </w:r>
      <w:r>
        <w:rPr>
          <w:color w:val="6E6158"/>
        </w:rPr>
        <w:t>(Past</w:t>
      </w:r>
      <w:r>
        <w:rPr>
          <w:color w:val="6E6158"/>
          <w:spacing w:val="12"/>
        </w:rPr>
        <w:t> </w:t>
      </w:r>
      <w:r>
        <w:rPr>
          <w:color w:val="6E6158"/>
        </w:rPr>
        <w:t>Officer</w:t>
      </w:r>
      <w:r>
        <w:rPr>
          <w:color w:val="6E6158"/>
          <w:spacing w:val="12"/>
        </w:rPr>
        <w:t> </w:t>
      </w:r>
      <w:r>
        <w:rPr>
          <w:color w:val="6E6158"/>
        </w:rPr>
        <w:t>and</w:t>
      </w:r>
      <w:r>
        <w:rPr>
          <w:color w:val="6E6158"/>
          <w:spacing w:val="12"/>
        </w:rPr>
        <w:t> </w:t>
      </w:r>
      <w:r>
        <w:rPr>
          <w:color w:val="6E6158"/>
          <w:spacing w:val="-2"/>
        </w:rPr>
        <w:t>Director)</w:t>
      </w:r>
    </w:p>
    <w:p>
      <w:pPr>
        <w:pStyle w:val="BodyText"/>
        <w:spacing w:line="420" w:lineRule="auto" w:before="174"/>
        <w:ind w:right="1532"/>
      </w:pPr>
      <w:r>
        <w:rPr>
          <w:color w:val="6E6158"/>
        </w:rPr>
        <w:t>Member, Turnaround Management Association, San Diego Chapter </w:t>
      </w:r>
      <w:r>
        <w:rPr>
          <w:color w:val="6E6158"/>
        </w:rPr>
        <w:t>Liaison Member, Business Law Section, California Lawyers Association</w:t>
      </w:r>
    </w:p>
    <w:p>
      <w:pPr>
        <w:pStyle w:val="BodyText"/>
        <w:spacing w:line="420" w:lineRule="auto" w:before="7"/>
        <w:ind w:right="5572"/>
      </w:pPr>
      <w:r>
        <w:rPr>
          <w:color w:val="6E6158"/>
        </w:rPr>
        <w:t>Member, American Bankruptcy </w:t>
      </w:r>
      <w:r>
        <w:rPr>
          <w:color w:val="6E6158"/>
        </w:rPr>
        <w:t>Institute Member, Nature Conservancy</w:t>
      </w:r>
    </w:p>
    <w:p>
      <w:pPr>
        <w:pStyle w:val="BodyText"/>
        <w:spacing w:line="420" w:lineRule="auto"/>
        <w:ind w:right="4704"/>
      </w:pPr>
      <w:r>
        <w:rPr>
          <w:color w:val="6E6158"/>
        </w:rPr>
        <w:t>Member. Escondido Creek </w:t>
      </w:r>
      <w:r>
        <w:rPr>
          <w:color w:val="6E6158"/>
        </w:rPr>
        <w:t>Conservancy Member, Surfrider Foundation</w:t>
      </w:r>
    </w:p>
    <w:p>
      <w:pPr>
        <w:pStyle w:val="BodyText"/>
        <w:spacing w:line="420" w:lineRule="auto" w:before="5"/>
        <w:ind w:right="3116"/>
      </w:pPr>
      <w:r>
        <w:rPr>
          <w:color w:val="6E6158"/>
        </w:rPr>
        <w:t>Former Author, Westlaw’s Commercial Finance </w:t>
      </w:r>
      <w:r>
        <w:rPr>
          <w:color w:val="6E6158"/>
        </w:rPr>
        <w:t>Newsletter Member, San Diego County Bar Association</w:t>
      </w:r>
    </w:p>
    <w:p>
      <w:pPr>
        <w:pStyle w:val="BodyText"/>
        <w:spacing w:line="231" w:lineRule="exact"/>
      </w:pPr>
      <w:r>
        <w:rPr>
          <w:color w:val="6E6158"/>
        </w:rPr>
        <w:t>Former</w:t>
      </w:r>
      <w:r>
        <w:rPr>
          <w:color w:val="6E6158"/>
          <w:spacing w:val="10"/>
        </w:rPr>
        <w:t> </w:t>
      </w:r>
      <w:r>
        <w:rPr>
          <w:color w:val="6E6158"/>
        </w:rPr>
        <w:t>Mentor,</w:t>
      </w:r>
      <w:r>
        <w:rPr>
          <w:color w:val="6E6158"/>
          <w:spacing w:val="11"/>
        </w:rPr>
        <w:t> </w:t>
      </w:r>
      <w:r>
        <w:rPr>
          <w:color w:val="6E6158"/>
        </w:rPr>
        <w:t>Crawford</w:t>
      </w:r>
      <w:r>
        <w:rPr>
          <w:color w:val="6E6158"/>
          <w:spacing w:val="11"/>
        </w:rPr>
        <w:t> </w:t>
      </w:r>
      <w:r>
        <w:rPr>
          <w:color w:val="6E6158"/>
        </w:rPr>
        <w:t>High</w:t>
      </w:r>
      <w:r>
        <w:rPr>
          <w:color w:val="6E6158"/>
          <w:spacing w:val="11"/>
        </w:rPr>
        <w:t> </w:t>
      </w:r>
      <w:r>
        <w:rPr>
          <w:color w:val="6E6158"/>
        </w:rPr>
        <w:t>School</w:t>
      </w:r>
      <w:r>
        <w:rPr>
          <w:color w:val="6E6158"/>
          <w:spacing w:val="11"/>
        </w:rPr>
        <w:t> </w:t>
      </w:r>
      <w:r>
        <w:rPr>
          <w:color w:val="6E6158"/>
        </w:rPr>
        <w:t>Academy</w:t>
      </w:r>
      <w:r>
        <w:rPr>
          <w:color w:val="6E6158"/>
          <w:spacing w:val="11"/>
        </w:rPr>
        <w:t> </w:t>
      </w:r>
      <w:r>
        <w:rPr>
          <w:color w:val="6E6158"/>
        </w:rPr>
        <w:t>of</w:t>
      </w:r>
      <w:r>
        <w:rPr>
          <w:color w:val="6E6158"/>
          <w:spacing w:val="11"/>
        </w:rPr>
        <w:t> </w:t>
      </w:r>
      <w:r>
        <w:rPr>
          <w:color w:val="6E6158"/>
          <w:spacing w:val="-5"/>
        </w:rPr>
        <w:t>Law</w:t>
      </w:r>
    </w:p>
    <w:p>
      <w:pPr>
        <w:pStyle w:val="BodyText"/>
        <w:spacing w:before="163"/>
        <w:ind w:left="0"/>
        <w:rPr>
          <w:sz w:val="24"/>
        </w:rPr>
      </w:pPr>
    </w:p>
    <w:p>
      <w:pPr>
        <w:pStyle w:val="Heading1"/>
      </w:pPr>
      <w:r>
        <w:rPr>
          <w:color w:val="FF8100"/>
          <w:spacing w:val="-2"/>
        </w:rPr>
        <w:t>ADMISSIONS</w:t>
      </w:r>
    </w:p>
    <w:p>
      <w:pPr>
        <w:pStyle w:val="BodyText"/>
        <w:spacing w:before="35"/>
        <w:ind w:left="0"/>
        <w:rPr>
          <w:b/>
        </w:rPr>
      </w:pPr>
    </w:p>
    <w:p>
      <w:pPr>
        <w:pStyle w:val="BodyText"/>
        <w:spacing w:line="420" w:lineRule="auto"/>
        <w:ind w:right="7926"/>
      </w:pPr>
      <w:r>
        <w:rPr>
          <w:color w:val="6E6158"/>
          <w:spacing w:val="-2"/>
        </w:rPr>
        <w:t>California Texas</w:t>
      </w:r>
    </w:p>
    <w:p>
      <w:pPr>
        <w:pStyle w:val="BodyText"/>
        <w:spacing w:line="231" w:lineRule="exact"/>
      </w:pPr>
      <w:r>
        <w:rPr>
          <w:color w:val="6E6158"/>
        </w:rPr>
        <w:t>U.S.</w:t>
      </w:r>
      <w:r>
        <w:rPr>
          <w:color w:val="6E6158"/>
          <w:spacing w:val="11"/>
        </w:rPr>
        <w:t> </w:t>
      </w:r>
      <w:r>
        <w:rPr>
          <w:color w:val="6E6158"/>
        </w:rPr>
        <w:t>District</w:t>
      </w:r>
      <w:r>
        <w:rPr>
          <w:color w:val="6E6158"/>
          <w:spacing w:val="12"/>
        </w:rPr>
        <w:t> </w:t>
      </w:r>
      <w:r>
        <w:rPr>
          <w:color w:val="6E6158"/>
        </w:rPr>
        <w:t>Court,</w:t>
      </w:r>
      <w:r>
        <w:rPr>
          <w:color w:val="6E6158"/>
          <w:spacing w:val="12"/>
        </w:rPr>
        <w:t> </w:t>
      </w:r>
      <w:r>
        <w:rPr>
          <w:color w:val="6E6158"/>
        </w:rPr>
        <w:t>Southern</w:t>
      </w:r>
      <w:r>
        <w:rPr>
          <w:color w:val="6E6158"/>
          <w:spacing w:val="12"/>
        </w:rPr>
        <w:t> </w:t>
      </w:r>
      <w:r>
        <w:rPr>
          <w:color w:val="6E6158"/>
        </w:rPr>
        <w:t>District</w:t>
      </w:r>
      <w:r>
        <w:rPr>
          <w:color w:val="6E6158"/>
          <w:spacing w:val="12"/>
        </w:rPr>
        <w:t> </w:t>
      </w:r>
      <w:r>
        <w:rPr>
          <w:color w:val="6E6158"/>
        </w:rPr>
        <w:t>of</w:t>
      </w:r>
      <w:r>
        <w:rPr>
          <w:color w:val="6E6158"/>
          <w:spacing w:val="12"/>
        </w:rPr>
        <w:t> </w:t>
      </w:r>
      <w:r>
        <w:rPr>
          <w:color w:val="6E6158"/>
          <w:spacing w:val="-2"/>
        </w:rPr>
        <w:t>California</w:t>
      </w:r>
    </w:p>
    <w:p>
      <w:pPr>
        <w:pStyle w:val="BodyText"/>
        <w:spacing w:before="174"/>
      </w:pPr>
      <w:r>
        <w:rPr>
          <w:color w:val="6E6158"/>
        </w:rPr>
        <w:t>U.S.</w:t>
      </w:r>
      <w:r>
        <w:rPr>
          <w:color w:val="6E6158"/>
          <w:spacing w:val="9"/>
        </w:rPr>
        <w:t> </w:t>
      </w:r>
      <w:r>
        <w:rPr>
          <w:color w:val="6E6158"/>
        </w:rPr>
        <w:t>District</w:t>
      </w:r>
      <w:r>
        <w:rPr>
          <w:color w:val="6E6158"/>
          <w:spacing w:val="9"/>
        </w:rPr>
        <w:t> </w:t>
      </w:r>
      <w:r>
        <w:rPr>
          <w:color w:val="6E6158"/>
        </w:rPr>
        <w:t>Court,</w:t>
      </w:r>
      <w:r>
        <w:rPr>
          <w:color w:val="6E6158"/>
          <w:spacing w:val="10"/>
        </w:rPr>
        <w:t> </w:t>
      </w:r>
      <w:r>
        <w:rPr>
          <w:color w:val="6E6158"/>
        </w:rPr>
        <w:t>Central</w:t>
      </w:r>
      <w:r>
        <w:rPr>
          <w:color w:val="6E6158"/>
          <w:spacing w:val="72"/>
        </w:rPr>
        <w:t> </w:t>
      </w:r>
      <w:r>
        <w:rPr>
          <w:color w:val="6E6158"/>
        </w:rPr>
        <w:t>District</w:t>
      </w:r>
      <w:r>
        <w:rPr>
          <w:color w:val="6E6158"/>
          <w:spacing w:val="9"/>
        </w:rPr>
        <w:t> </w:t>
      </w:r>
      <w:r>
        <w:rPr>
          <w:color w:val="6E6158"/>
        </w:rPr>
        <w:t>of</w:t>
      </w:r>
      <w:r>
        <w:rPr>
          <w:color w:val="6E6158"/>
          <w:spacing w:val="10"/>
        </w:rPr>
        <w:t> </w:t>
      </w:r>
      <w:r>
        <w:rPr>
          <w:color w:val="6E6158"/>
          <w:spacing w:val="-2"/>
        </w:rPr>
        <w:t>California</w:t>
      </w:r>
    </w:p>
    <w:p>
      <w:pPr>
        <w:pStyle w:val="BodyText"/>
        <w:spacing w:before="182"/>
      </w:pPr>
      <w:r>
        <w:rPr>
          <w:color w:val="6E6158"/>
        </w:rPr>
        <w:t>U.S.</w:t>
      </w:r>
      <w:r>
        <w:rPr>
          <w:color w:val="6E6158"/>
          <w:spacing w:val="11"/>
        </w:rPr>
        <w:t> </w:t>
      </w:r>
      <w:r>
        <w:rPr>
          <w:color w:val="6E6158"/>
        </w:rPr>
        <w:t>District</w:t>
      </w:r>
      <w:r>
        <w:rPr>
          <w:color w:val="6E6158"/>
          <w:spacing w:val="11"/>
        </w:rPr>
        <w:t> </w:t>
      </w:r>
      <w:r>
        <w:rPr>
          <w:color w:val="6E6158"/>
        </w:rPr>
        <w:t>Court,</w:t>
      </w:r>
      <w:r>
        <w:rPr>
          <w:color w:val="6E6158"/>
          <w:spacing w:val="12"/>
        </w:rPr>
        <w:t> </w:t>
      </w:r>
      <w:r>
        <w:rPr>
          <w:color w:val="6E6158"/>
        </w:rPr>
        <w:t>Eastern</w:t>
      </w:r>
      <w:r>
        <w:rPr>
          <w:color w:val="6E6158"/>
          <w:spacing w:val="11"/>
        </w:rPr>
        <w:t> </w:t>
      </w:r>
      <w:r>
        <w:rPr>
          <w:color w:val="6E6158"/>
        </w:rPr>
        <w:t>District</w:t>
      </w:r>
      <w:r>
        <w:rPr>
          <w:color w:val="6E6158"/>
          <w:spacing w:val="12"/>
        </w:rPr>
        <w:t> </w:t>
      </w:r>
      <w:r>
        <w:rPr>
          <w:color w:val="6E6158"/>
        </w:rPr>
        <w:t>of</w:t>
      </w:r>
      <w:r>
        <w:rPr>
          <w:color w:val="6E6158"/>
          <w:spacing w:val="11"/>
        </w:rPr>
        <w:t> </w:t>
      </w:r>
      <w:r>
        <w:rPr>
          <w:color w:val="6E6158"/>
          <w:spacing w:val="-2"/>
        </w:rPr>
        <w:t>California</w:t>
      </w:r>
    </w:p>
    <w:p>
      <w:pPr>
        <w:pStyle w:val="BodyText"/>
        <w:spacing w:before="174"/>
      </w:pPr>
      <w:r>
        <w:rPr>
          <w:color w:val="6E6158"/>
        </w:rPr>
        <w:t>U.S.</w:t>
      </w:r>
      <w:r>
        <w:rPr>
          <w:color w:val="6E6158"/>
          <w:spacing w:val="11"/>
        </w:rPr>
        <w:t> </w:t>
      </w:r>
      <w:r>
        <w:rPr>
          <w:color w:val="6E6158"/>
        </w:rPr>
        <w:t>District</w:t>
      </w:r>
      <w:r>
        <w:rPr>
          <w:color w:val="6E6158"/>
          <w:spacing w:val="12"/>
        </w:rPr>
        <w:t> </w:t>
      </w:r>
      <w:r>
        <w:rPr>
          <w:color w:val="6E6158"/>
        </w:rPr>
        <w:t>Court,</w:t>
      </w:r>
      <w:r>
        <w:rPr>
          <w:color w:val="6E6158"/>
          <w:spacing w:val="12"/>
        </w:rPr>
        <w:t> </w:t>
      </w:r>
      <w:r>
        <w:rPr>
          <w:color w:val="6E6158"/>
        </w:rPr>
        <w:t>Northern</w:t>
      </w:r>
      <w:r>
        <w:rPr>
          <w:color w:val="6E6158"/>
          <w:spacing w:val="12"/>
        </w:rPr>
        <w:t> </w:t>
      </w:r>
      <w:r>
        <w:rPr>
          <w:color w:val="6E6158"/>
        </w:rPr>
        <w:t>District</w:t>
      </w:r>
      <w:r>
        <w:rPr>
          <w:color w:val="6E6158"/>
          <w:spacing w:val="12"/>
        </w:rPr>
        <w:t> </w:t>
      </w:r>
      <w:r>
        <w:rPr>
          <w:color w:val="6E6158"/>
        </w:rPr>
        <w:t>of</w:t>
      </w:r>
      <w:r>
        <w:rPr>
          <w:color w:val="6E6158"/>
          <w:spacing w:val="12"/>
        </w:rPr>
        <w:t> </w:t>
      </w:r>
      <w:r>
        <w:rPr>
          <w:color w:val="6E6158"/>
          <w:spacing w:val="-2"/>
        </w:rPr>
        <w:t>California</w:t>
      </w:r>
    </w:p>
    <w:p>
      <w:pPr>
        <w:pStyle w:val="BodyText"/>
        <w:spacing w:before="174"/>
      </w:pPr>
      <w:r>
        <w:rPr>
          <w:color w:val="6E6158"/>
        </w:rPr>
        <w:t>U.S.</w:t>
      </w:r>
      <w:r>
        <w:rPr>
          <w:color w:val="6E6158"/>
          <w:spacing w:val="11"/>
        </w:rPr>
        <w:t> </w:t>
      </w:r>
      <w:r>
        <w:rPr>
          <w:color w:val="6E6158"/>
        </w:rPr>
        <w:t>District</w:t>
      </w:r>
      <w:r>
        <w:rPr>
          <w:color w:val="6E6158"/>
          <w:spacing w:val="12"/>
        </w:rPr>
        <w:t> </w:t>
      </w:r>
      <w:r>
        <w:rPr>
          <w:color w:val="6E6158"/>
        </w:rPr>
        <w:t>Court,</w:t>
      </w:r>
      <w:r>
        <w:rPr>
          <w:color w:val="6E6158"/>
          <w:spacing w:val="12"/>
        </w:rPr>
        <w:t> </w:t>
      </w:r>
      <w:r>
        <w:rPr>
          <w:color w:val="6E6158"/>
        </w:rPr>
        <w:t>Southern</w:t>
      </w:r>
      <w:r>
        <w:rPr>
          <w:color w:val="6E6158"/>
          <w:spacing w:val="12"/>
        </w:rPr>
        <w:t> </w:t>
      </w:r>
      <w:r>
        <w:rPr>
          <w:color w:val="6E6158"/>
        </w:rPr>
        <w:t>District</w:t>
      </w:r>
      <w:r>
        <w:rPr>
          <w:color w:val="6E6158"/>
          <w:spacing w:val="12"/>
        </w:rPr>
        <w:t> </w:t>
      </w:r>
      <w:r>
        <w:rPr>
          <w:color w:val="6E6158"/>
        </w:rPr>
        <w:t>of</w:t>
      </w:r>
      <w:r>
        <w:rPr>
          <w:color w:val="6E6158"/>
          <w:spacing w:val="12"/>
        </w:rPr>
        <w:t> </w:t>
      </w:r>
      <w:r>
        <w:rPr>
          <w:color w:val="6E6158"/>
          <w:spacing w:val="-2"/>
        </w:rPr>
        <w:t>Texas</w:t>
      </w:r>
    </w:p>
    <w:sectPr>
      <w:pgSz w:w="12240" w:h="15840"/>
      <w:pgMar w:top="500" w:bottom="280" w:left="1440" w:right="14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entury Gothic">
    <w:altName w:val="Century Gothic"/>
    <w:charset w:val="0"/>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entury Gothic" w:hAnsi="Century Gothic" w:eastAsia="Century Gothic" w:cs="Century Gothic"/>
      <w:lang w:val="en-US" w:eastAsia="en-US" w:bidi="ar-SA"/>
    </w:rPr>
  </w:style>
  <w:style w:styleId="BodyText" w:type="paragraph">
    <w:name w:val="Body Text"/>
    <w:basedOn w:val="Normal"/>
    <w:uiPriority w:val="1"/>
    <w:qFormat/>
    <w:pPr>
      <w:ind w:left="99"/>
    </w:pPr>
    <w:rPr>
      <w:rFonts w:ascii="Century Gothic" w:hAnsi="Century Gothic" w:eastAsia="Century Gothic" w:cs="Century Gothic"/>
      <w:sz w:val="19"/>
      <w:szCs w:val="19"/>
      <w:lang w:val="en-US" w:eastAsia="en-US" w:bidi="ar-SA"/>
    </w:rPr>
  </w:style>
  <w:style w:styleId="Heading1" w:type="paragraph">
    <w:name w:val="Heading 1"/>
    <w:basedOn w:val="Normal"/>
    <w:uiPriority w:val="1"/>
    <w:qFormat/>
    <w:pPr>
      <w:ind w:left="99"/>
      <w:outlineLvl w:val="1"/>
    </w:pPr>
    <w:rPr>
      <w:rFonts w:ascii="Century Gothic" w:hAnsi="Century Gothic" w:eastAsia="Century Gothic" w:cs="Century Gothic"/>
      <w:b/>
      <w:bCs/>
      <w:sz w:val="24"/>
      <w:szCs w:val="24"/>
      <w:lang w:val="en-US" w:eastAsia="en-US" w:bidi="ar-SA"/>
    </w:rPr>
  </w:style>
  <w:style w:styleId="Heading2" w:type="paragraph">
    <w:name w:val="Heading 2"/>
    <w:basedOn w:val="Normal"/>
    <w:uiPriority w:val="1"/>
    <w:qFormat/>
    <w:pPr>
      <w:spacing w:before="147"/>
      <w:ind w:left="99"/>
      <w:outlineLvl w:val="2"/>
    </w:pPr>
    <w:rPr>
      <w:rFonts w:ascii="Century Gothic" w:hAnsi="Century Gothic" w:eastAsia="Century Gothic" w:cs="Century Gothic"/>
      <w:b/>
      <w:bCs/>
      <w:sz w:val="19"/>
      <w:szCs w:val="19"/>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yperlink" Target="https://www.fennemorelaw.com/" TargetMode="External"/><Relationship Id="rId7" Type="http://schemas.openxmlformats.org/officeDocument/2006/relationships/image" Target="media/image2.jpeg"/><Relationship Id="rId8" Type="http://schemas.openxmlformats.org/officeDocument/2006/relationships/hyperlink" Target="https://www.fennemorelaw.com/services/financial-restructuring-bankruptcy-creditors-rights/" TargetMode="External"/><Relationship Id="rId9" Type="http://schemas.openxmlformats.org/officeDocument/2006/relationships/hyperlink" Target="https://www.fennemorelaw.com/contact-us/san-diego/" TargetMode="External"/><Relationship Id="rId10" Type="http://schemas.openxmlformats.org/officeDocument/2006/relationships/hyperlink" Target="mailto:chawkins@fennemorelaw.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Christopher V. Hawkins - Fennemore</dc:title>
  <dcterms:created xsi:type="dcterms:W3CDTF">2026-08-13T21:34:45Z</dcterms:created>
  <dcterms:modified xsi:type="dcterms:W3CDTF">2026-08-13T21:34:45Z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v10.0.20182.1</vt:lpwstr>
  </property>
  <property fmtid="{D5CDD505-2E9C-101B-9397-08002B2CF9AE}" pid="3" name="Created">
    <vt:filetime>2026-08-13T00:00:00Z</vt:filetime>
  </property>
  <property fmtid="{D5CDD505-2E9C-101B-9397-08002B2CF9AE}" pid="4" name="Creator">
    <vt:lpwstr>Mozilla/5.0 (X11; Linux x86_64) AppleWebKit/537.36 (KHTML, like Gecko) HeadlessChrome/151.0.0.0 Safari/537.36</vt:lpwstr>
  </property>
  <property fmtid="{D5CDD505-2E9C-101B-9397-08002B2CF9AE}" pid="5" name="LastSaved">
    <vt:filetime>2026-08-13T00:00:00Z</vt:filetime>
  </property>
  <property fmtid="{D5CDD505-2E9C-101B-9397-08002B2CF9AE}" pid="6" name="Producer">
    <vt:lpwstr>Skia/PDF m151</vt:lpwstr>
  </property>
</Properties>
</file>