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Derek Pfaff web header Fennemor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68788" y="1369338"/>
                            <a:ext cx="17678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320675">
                                <a:moveTo>
                                  <a:pt x="17672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67217" y="320382"/>
                                </a:lnTo>
                                <a:lnTo>
                                  <a:pt x="1767217" y="315214"/>
                                </a:lnTo>
                                <a:close/>
                              </a:path>
                              <a:path w="1767839" h="320675">
                                <a:moveTo>
                                  <a:pt x="17672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67217" y="5168"/>
                                </a:lnTo>
                                <a:lnTo>
                                  <a:pt x="176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DEREK J.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PFAFF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Real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Fennemore</w:t>
                                </w:r>
                                <w:r>
                                  <w:rPr>
                                    <w:color w:val="FFFFFF"/>
                                    <w:spacing w:val="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Forward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62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602.916.5398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602.916.5598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dpfaff@fennemorelaw.com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Derek Pfaff web header Fennemore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777;top:2156;width:2784;height:505" id="docshape5" coordorigin="5778,2156" coordsize="2784,505" path="m8561,2653l5778,2653,5778,2661,8561,2661,8561,2653xm8561,2156l5778,2156,5778,2165,8561,2165,8561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DEREK J.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PFAFF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Real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Fennemore</w:t>
                          </w:r>
                          <w:r>
                            <w:rPr>
                              <w:color w:val="FFFFFF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Forward</w:t>
                          </w:r>
                        </w:hyperlink>
                      </w:p>
                      <w:p>
                        <w:pPr>
                          <w:tabs>
                            <w:tab w:pos="1562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602.916.5398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602.916.5598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dpfaff@fennemorelaw.com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67"/>
        <w:ind w:left="99" w:right="0" w:firstLine="0"/>
        <w:jc w:val="left"/>
        <w:rPr>
          <w:b/>
          <w:sz w:val="24"/>
        </w:rPr>
      </w:pPr>
      <w:r>
        <w:rPr>
          <w:b/>
          <w:color w:val="002E6B"/>
          <w:sz w:val="24"/>
        </w:rPr>
        <w:t>DEREK</w:t>
      </w:r>
      <w:r>
        <w:rPr>
          <w:b/>
          <w:color w:val="002E6B"/>
          <w:spacing w:val="5"/>
          <w:sz w:val="24"/>
        </w:rPr>
        <w:t> </w:t>
      </w:r>
      <w:r>
        <w:rPr>
          <w:b/>
          <w:color w:val="002E6B"/>
          <w:sz w:val="24"/>
        </w:rPr>
        <w:t>J.</w:t>
      </w:r>
      <w:r>
        <w:rPr>
          <w:b/>
          <w:color w:val="002E6B"/>
          <w:spacing w:val="5"/>
          <w:sz w:val="24"/>
        </w:rPr>
        <w:t> </w:t>
      </w:r>
      <w:r>
        <w:rPr>
          <w:b/>
          <w:color w:val="002E6B"/>
          <w:spacing w:val="-2"/>
          <w:sz w:val="24"/>
        </w:rPr>
        <w:t>PFAFF</w:t>
      </w:r>
    </w:p>
    <w:p>
      <w:pPr>
        <w:pStyle w:val="BodyText"/>
        <w:spacing w:line="297" w:lineRule="auto" w:before="147"/>
        <w:ind w:right="712"/>
      </w:pPr>
      <w:r>
        <w:rPr>
          <w:color w:val="6E6158"/>
        </w:rPr>
        <w:t>Derek is a real estate attorney focusing on matters including acquisitions and dispositions of</w:t>
      </w:r>
      <w:r>
        <w:rPr>
          <w:color w:val="6E6158"/>
          <w:spacing w:val="40"/>
        </w:rPr>
        <w:t> </w:t>
      </w:r>
      <w:r>
        <w:rPr>
          <w:color w:val="6E6158"/>
        </w:rPr>
        <w:t>improved and unimproved commercial properties as well as farm and ranch properties,</w:t>
      </w:r>
      <w:r>
        <w:rPr>
          <w:color w:val="6E6158"/>
          <w:spacing w:val="40"/>
        </w:rPr>
        <w:t> </w:t>
      </w:r>
      <w:r>
        <w:rPr>
          <w:color w:val="6E6158"/>
        </w:rPr>
        <w:t>shopping center development, commercial leasing, and real estate finance. He handles</w:t>
      </w:r>
      <w:r>
        <w:rPr>
          <w:color w:val="6E6158"/>
          <w:spacing w:val="40"/>
        </w:rPr>
        <w:t> </w:t>
      </w:r>
      <w:r>
        <w:rPr>
          <w:color w:val="6E6158"/>
        </w:rPr>
        <w:t>conventional real estate lending, loan work-outs and mezzanine loan transactions. Derek’s</w:t>
      </w:r>
      <w:r>
        <w:rPr>
          <w:color w:val="6E6158"/>
          <w:spacing w:val="40"/>
        </w:rPr>
        <w:t> </w:t>
      </w:r>
      <w:r>
        <w:rPr>
          <w:color w:val="6E6158"/>
        </w:rPr>
        <w:t>experience</w:t>
      </w:r>
      <w:r>
        <w:rPr>
          <w:color w:val="6E6158"/>
          <w:spacing w:val="40"/>
        </w:rPr>
        <w:t> </w:t>
      </w:r>
      <w:r>
        <w:rPr>
          <w:color w:val="6E6158"/>
        </w:rPr>
        <w:t>includes</w:t>
      </w:r>
      <w:r>
        <w:rPr>
          <w:color w:val="6E6158"/>
          <w:spacing w:val="40"/>
        </w:rPr>
        <w:t> </w:t>
      </w:r>
      <w:r>
        <w:rPr>
          <w:color w:val="6E6158"/>
        </w:rPr>
        <w:t>projects</w:t>
      </w:r>
      <w:r>
        <w:rPr>
          <w:color w:val="6E6158"/>
          <w:spacing w:val="40"/>
        </w:rPr>
        <w:t> </w:t>
      </w:r>
      <w:r>
        <w:rPr>
          <w:color w:val="6E6158"/>
        </w:rPr>
        <w:t>involving</w:t>
      </w:r>
      <w:r>
        <w:rPr>
          <w:color w:val="6E6158"/>
          <w:spacing w:val="40"/>
        </w:rPr>
        <w:t> </w:t>
      </w:r>
      <w:r>
        <w:rPr>
          <w:color w:val="6E6158"/>
        </w:rPr>
        <w:t>public</w:t>
      </w:r>
      <w:r>
        <w:rPr>
          <w:color w:val="6E6158"/>
          <w:spacing w:val="40"/>
        </w:rPr>
        <w:t> </w:t>
      </w:r>
      <w:r>
        <w:rPr>
          <w:color w:val="6E6158"/>
        </w:rPr>
        <w:t>transit</w:t>
      </w:r>
      <w:r>
        <w:rPr>
          <w:color w:val="6E6158"/>
          <w:spacing w:val="40"/>
        </w:rPr>
        <w:t> </w:t>
      </w:r>
      <w:r>
        <w:rPr>
          <w:color w:val="6E6158"/>
        </w:rPr>
        <w:t>facilities,</w:t>
      </w:r>
      <w:r>
        <w:rPr>
          <w:color w:val="6E6158"/>
          <w:spacing w:val="40"/>
        </w:rPr>
        <w:t> </w:t>
      </w:r>
      <w:r>
        <w:rPr>
          <w:color w:val="6E6158"/>
        </w:rPr>
        <w:t>utilities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condemnation.</w:t>
      </w:r>
    </w:p>
    <w:p>
      <w:pPr>
        <w:pStyle w:val="BodyText"/>
        <w:spacing w:line="295" w:lineRule="auto" w:before="191"/>
        <w:ind w:right="712"/>
      </w:pPr>
      <w:r>
        <w:rPr>
          <w:color w:val="6E6158"/>
        </w:rPr>
        <w:t>Derek also works on the real estate aspects of renewable energy projects, specifically solar and</w:t>
      </w:r>
      <w:r>
        <w:rPr>
          <w:color w:val="6E6158"/>
          <w:spacing w:val="40"/>
        </w:rPr>
        <w:t> </w:t>
      </w:r>
      <w:r>
        <w:rPr>
          <w:color w:val="6E6158"/>
        </w:rPr>
        <w:t>wind, including site acquisition and leasing. He is adept at drafting and negotiating purchase</w:t>
      </w:r>
      <w:r>
        <w:rPr>
          <w:color w:val="6E6158"/>
          <w:spacing w:val="40"/>
        </w:rPr>
        <w:t> </w:t>
      </w:r>
      <w:r>
        <w:rPr>
          <w:color w:val="6E6158"/>
        </w:rPr>
        <w:t>agreements, leases, easements, surface waivers and drill site agreements that limit or prevent</w:t>
      </w:r>
      <w:r>
        <w:rPr>
          <w:color w:val="6E6158"/>
          <w:spacing w:val="40"/>
        </w:rPr>
        <w:t> </w:t>
      </w:r>
      <w:r>
        <w:rPr>
          <w:color w:val="6E6158"/>
        </w:rPr>
        <w:t>disturbance by oil, gas and mineral-related activities. Derek works closely with clients to identify</w:t>
      </w:r>
      <w:r>
        <w:rPr>
          <w:color w:val="6E6158"/>
          <w:spacing w:val="40"/>
        </w:rPr>
        <w:t> </w:t>
      </w:r>
      <w:r>
        <w:rPr>
          <w:color w:val="6E6158"/>
        </w:rPr>
        <w:t>and resolve title, survey and other land-related issues, and is able to anticipate the expectations</w:t>
      </w:r>
      <w:r>
        <w:rPr>
          <w:color w:val="6E6158"/>
          <w:spacing w:val="80"/>
        </w:rPr>
        <w:t> </w:t>
      </w:r>
      <w:r>
        <w:rPr>
          <w:color w:val="6E6158"/>
        </w:rPr>
        <w:t>of tax equity and other investors concerning these matters.</w:t>
      </w:r>
    </w:p>
    <w:p>
      <w:pPr>
        <w:pStyle w:val="BodyText"/>
        <w:spacing w:before="193"/>
      </w:pPr>
      <w:r>
        <w:rPr>
          <w:color w:val="6E6158"/>
        </w:rPr>
        <w:t>Derek</w:t>
      </w:r>
      <w:r>
        <w:rPr>
          <w:color w:val="6E6158"/>
          <w:spacing w:val="9"/>
        </w:rPr>
        <w:t> </w:t>
      </w:r>
      <w:r>
        <w:rPr>
          <w:color w:val="6E6158"/>
        </w:rPr>
        <w:t>spends</w:t>
      </w:r>
      <w:r>
        <w:rPr>
          <w:color w:val="6E6158"/>
          <w:spacing w:val="10"/>
        </w:rPr>
        <w:t> </w:t>
      </w:r>
      <w:r>
        <w:rPr>
          <w:color w:val="6E6158"/>
        </w:rPr>
        <w:t>his</w:t>
      </w:r>
      <w:r>
        <w:rPr>
          <w:color w:val="6E6158"/>
          <w:spacing w:val="10"/>
        </w:rPr>
        <w:t> </w:t>
      </w:r>
      <w:r>
        <w:rPr>
          <w:color w:val="6E6158"/>
        </w:rPr>
        <w:t>free</w:t>
      </w:r>
      <w:r>
        <w:rPr>
          <w:color w:val="6E6158"/>
          <w:spacing w:val="9"/>
        </w:rPr>
        <w:t> </w:t>
      </w:r>
      <w:r>
        <w:rPr>
          <w:color w:val="6E6158"/>
        </w:rPr>
        <w:t>time</w:t>
      </w:r>
      <w:r>
        <w:rPr>
          <w:color w:val="6E6158"/>
          <w:spacing w:val="10"/>
        </w:rPr>
        <w:t> </w:t>
      </w:r>
      <w:r>
        <w:rPr>
          <w:color w:val="6E6158"/>
        </w:rPr>
        <w:t>with</w:t>
      </w:r>
      <w:r>
        <w:rPr>
          <w:color w:val="6E6158"/>
          <w:spacing w:val="10"/>
        </w:rPr>
        <w:t> </w:t>
      </w:r>
      <w:r>
        <w:rPr>
          <w:color w:val="6E6158"/>
        </w:rPr>
        <w:t>his</w:t>
      </w:r>
      <w:r>
        <w:rPr>
          <w:color w:val="6E6158"/>
          <w:spacing w:val="9"/>
        </w:rPr>
        <w:t> </w:t>
      </w:r>
      <w:r>
        <w:rPr>
          <w:color w:val="6E6158"/>
        </w:rPr>
        <w:t>family,</w:t>
      </w:r>
      <w:r>
        <w:rPr>
          <w:color w:val="6E6158"/>
          <w:spacing w:val="10"/>
        </w:rPr>
        <w:t> </w:t>
      </w:r>
      <w:r>
        <w:rPr>
          <w:color w:val="6E6158"/>
        </w:rPr>
        <w:t>hiking,</w:t>
      </w:r>
      <w:r>
        <w:rPr>
          <w:color w:val="6E6158"/>
          <w:spacing w:val="10"/>
        </w:rPr>
        <w:t> </w:t>
      </w:r>
      <w:r>
        <w:rPr>
          <w:color w:val="6E6158"/>
        </w:rPr>
        <w:t>biking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fishing.</w:t>
      </w:r>
    </w:p>
    <w:p>
      <w:pPr>
        <w:pStyle w:val="Heading2"/>
        <w:spacing w:before="221"/>
      </w:pPr>
      <w:r>
        <w:rPr>
          <w:color w:val="FF8100"/>
          <w:spacing w:val="-2"/>
        </w:rPr>
        <w:t>EDUCATION</w:t>
      </w:r>
    </w:p>
    <w:p>
      <w:pPr>
        <w:pStyle w:val="BodyText"/>
        <w:spacing w:before="18"/>
        <w:ind w:left="0"/>
        <w:rPr>
          <w:b/>
        </w:rPr>
      </w:pPr>
    </w:p>
    <w:p>
      <w:pPr>
        <w:pStyle w:val="BodyText"/>
        <w:rPr>
          <w:i/>
          <w:sz w:val="20"/>
        </w:rPr>
      </w:pPr>
      <w:r>
        <w:rPr>
          <w:color w:val="6E6158"/>
        </w:rPr>
        <w:t>J.D.,</w:t>
      </w:r>
      <w:r>
        <w:rPr>
          <w:color w:val="6E6158"/>
          <w:spacing w:val="6"/>
        </w:rPr>
        <w:t> </w:t>
      </w:r>
      <w:r>
        <w:rPr>
          <w:color w:val="6E6158"/>
        </w:rPr>
        <w:t>University</w:t>
      </w:r>
      <w:r>
        <w:rPr>
          <w:color w:val="6E6158"/>
          <w:spacing w:val="6"/>
        </w:rPr>
        <w:t> </w:t>
      </w:r>
      <w:r>
        <w:rPr>
          <w:color w:val="6E6158"/>
        </w:rPr>
        <w:t>of</w:t>
      </w:r>
      <w:r>
        <w:rPr>
          <w:color w:val="6E6158"/>
          <w:spacing w:val="6"/>
        </w:rPr>
        <w:t> </w:t>
      </w:r>
      <w:r>
        <w:rPr>
          <w:color w:val="6E6158"/>
        </w:rPr>
        <w:t>Arizona,</w:t>
      </w:r>
      <w:r>
        <w:rPr>
          <w:color w:val="6E6158"/>
          <w:spacing w:val="7"/>
        </w:rPr>
        <w:t> </w:t>
      </w:r>
      <w:r>
        <w:rPr>
          <w:color w:val="6E6158"/>
        </w:rPr>
        <w:t>James</w:t>
      </w:r>
      <w:r>
        <w:rPr>
          <w:color w:val="6E6158"/>
          <w:spacing w:val="6"/>
        </w:rPr>
        <w:t> </w:t>
      </w:r>
      <w:r>
        <w:rPr>
          <w:color w:val="6E6158"/>
        </w:rPr>
        <w:t>E.</w:t>
      </w:r>
      <w:r>
        <w:rPr>
          <w:color w:val="6E6158"/>
          <w:spacing w:val="6"/>
        </w:rPr>
        <w:t> </w:t>
      </w:r>
      <w:r>
        <w:rPr>
          <w:color w:val="6E6158"/>
        </w:rPr>
        <w:t>Rogers</w:t>
      </w:r>
      <w:r>
        <w:rPr>
          <w:color w:val="6E6158"/>
          <w:spacing w:val="6"/>
        </w:rPr>
        <w:t> </w:t>
      </w:r>
      <w:r>
        <w:rPr>
          <w:color w:val="6E6158"/>
        </w:rPr>
        <w:t>College</w:t>
      </w:r>
      <w:r>
        <w:rPr>
          <w:color w:val="6E6158"/>
          <w:spacing w:val="6"/>
        </w:rPr>
        <w:t> </w:t>
      </w:r>
      <w:r>
        <w:rPr>
          <w:color w:val="6E6158"/>
        </w:rPr>
        <w:t>of</w:t>
      </w:r>
      <w:r>
        <w:rPr>
          <w:color w:val="6E6158"/>
          <w:spacing w:val="7"/>
        </w:rPr>
        <w:t> </w:t>
      </w:r>
      <w:r>
        <w:rPr>
          <w:color w:val="6E6158"/>
        </w:rPr>
        <w:t>Law,</w:t>
      </w:r>
      <w:r>
        <w:rPr>
          <w:color w:val="6E6158"/>
          <w:spacing w:val="6"/>
        </w:rPr>
        <w:t> </w:t>
      </w:r>
      <w:r>
        <w:rPr>
          <w:i/>
          <w:color w:val="6E6158"/>
          <w:sz w:val="20"/>
        </w:rPr>
        <w:t>summa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spacing w:before="162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B.A.,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Arizona,</w:t>
      </w:r>
      <w:r>
        <w:rPr>
          <w:color w:val="6E6158"/>
          <w:spacing w:val="2"/>
          <w:sz w:val="19"/>
        </w:rPr>
        <w:t> </w:t>
      </w:r>
      <w:r>
        <w:rPr>
          <w:i/>
          <w:color w:val="6E6158"/>
          <w:sz w:val="20"/>
        </w:rPr>
        <w:t>magna cum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60"/>
        <w:ind w:left="0"/>
        <w:rPr>
          <w:i/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line="528" w:lineRule="exact" w:before="54"/>
        <w:ind w:right="6109"/>
      </w:pPr>
      <w:r>
        <w:rPr>
          <w:color w:val="6E6158"/>
        </w:rPr>
        <w:t>Renewable Energy and Clean </w:t>
      </w:r>
      <w:r>
        <w:rPr>
          <w:color w:val="6E6158"/>
        </w:rPr>
        <w:t>Tech Real Estate</w:t>
      </w:r>
    </w:p>
    <w:p>
      <w:pPr>
        <w:pStyle w:val="BodyText"/>
        <w:spacing w:before="111"/>
      </w:pPr>
      <w:r>
        <w:rPr>
          <w:color w:val="6E6158"/>
        </w:rPr>
        <w:t>Advanced</w:t>
      </w:r>
      <w:r>
        <w:rPr>
          <w:color w:val="6E6158"/>
          <w:spacing w:val="20"/>
        </w:rPr>
        <w:t> </w:t>
      </w:r>
      <w:r>
        <w:rPr>
          <w:color w:val="6E6158"/>
          <w:spacing w:val="-2"/>
        </w:rPr>
        <w:t>Energy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 w:before="1"/>
        <w:ind w:right="712"/>
      </w:pPr>
      <w:r>
        <w:rPr>
          <w:color w:val="6E6158"/>
        </w:rPr>
        <w:t>Representation of a private renewable energy company in the acquisition, development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disposition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solar</w:t>
      </w:r>
      <w:r>
        <w:rPr>
          <w:color w:val="6E6158"/>
          <w:spacing w:val="12"/>
        </w:rPr>
        <w:t> </w:t>
      </w:r>
      <w:r>
        <w:rPr>
          <w:color w:val="6E6158"/>
        </w:rPr>
        <w:t>projects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Arizona,</w:t>
      </w:r>
      <w:r>
        <w:rPr>
          <w:color w:val="6E6158"/>
          <w:spacing w:val="13"/>
        </w:rPr>
        <w:t> </w:t>
      </w:r>
      <w:r>
        <w:rPr>
          <w:color w:val="6E6158"/>
        </w:rPr>
        <w:t>California,</w:t>
      </w:r>
      <w:r>
        <w:rPr>
          <w:color w:val="6E6158"/>
          <w:spacing w:val="12"/>
        </w:rPr>
        <w:t> </w:t>
      </w:r>
      <w:r>
        <w:rPr>
          <w:color w:val="6E6158"/>
        </w:rPr>
        <w:t>Idaho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Indiana</w:t>
      </w:r>
      <w:r>
        <w:rPr>
          <w:color w:val="6E6158"/>
          <w:spacing w:val="12"/>
        </w:rPr>
        <w:t> </w:t>
      </w:r>
      <w:r>
        <w:rPr>
          <w:color w:val="6E6158"/>
        </w:rPr>
        <w:t>totaling</w:t>
      </w:r>
      <w:r>
        <w:rPr>
          <w:color w:val="6E6158"/>
          <w:spacing w:val="13"/>
        </w:rPr>
        <w:t> </w:t>
      </w:r>
      <w:r>
        <w:rPr>
          <w:color w:val="6E6158"/>
        </w:rPr>
        <w:t>nearly</w:t>
      </w:r>
      <w:r>
        <w:rPr>
          <w:color w:val="6E6158"/>
          <w:spacing w:val="12"/>
        </w:rPr>
        <w:t> </w:t>
      </w:r>
      <w:r>
        <w:rPr>
          <w:color w:val="6E6158"/>
        </w:rPr>
        <w:t>300</w:t>
      </w:r>
      <w:r>
        <w:rPr>
          <w:color w:val="6E6158"/>
          <w:spacing w:val="12"/>
        </w:rPr>
        <w:t> </w:t>
      </w:r>
      <w:r>
        <w:rPr>
          <w:color w:val="6E6158"/>
        </w:rPr>
        <w:t>MW</w:t>
      </w:r>
      <w:r>
        <w:rPr>
          <w:color w:val="6E6158"/>
          <w:spacing w:val="12"/>
        </w:rPr>
        <w:t> </w:t>
      </w:r>
      <w:r>
        <w:rPr>
          <w:color w:val="6E6158"/>
          <w:spacing w:val="-5"/>
        </w:rPr>
        <w:t>of</w:t>
      </w:r>
    </w:p>
    <w:p>
      <w:pPr>
        <w:pStyle w:val="BodyText"/>
        <w:spacing w:after="0" w:line="292" w:lineRule="auto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</w:pPr>
      <w:r>
        <w:rPr>
          <w:color w:val="6E6158"/>
          <w:spacing w:val="-2"/>
        </w:rPr>
        <w:t>capacity.</w:t>
      </w:r>
    </w:p>
    <w:p>
      <w:pPr>
        <w:pStyle w:val="BodyText"/>
        <w:spacing w:line="302" w:lineRule="auto" w:before="174"/>
        <w:ind w:right="712"/>
      </w:pPr>
      <w:r>
        <w:rPr>
          <w:color w:val="6E6158"/>
        </w:rPr>
        <w:t>Representation of a publically traded energy company in the acquisition and development of </w:t>
      </w:r>
      <w:r>
        <w:rPr>
          <w:color w:val="6E6158"/>
        </w:rPr>
        <w:t>a</w:t>
      </w:r>
      <w:r>
        <w:rPr>
          <w:color w:val="6E6158"/>
          <w:spacing w:val="40"/>
        </w:rPr>
        <w:t> </w:t>
      </w:r>
      <w:r>
        <w:rPr>
          <w:color w:val="6E6158"/>
        </w:rPr>
        <w:t>14 MW solar project in Texas.</w:t>
      </w:r>
    </w:p>
    <w:p>
      <w:pPr>
        <w:pStyle w:val="BodyText"/>
        <w:spacing w:line="292" w:lineRule="auto" w:before="113"/>
        <w:ind w:right="712"/>
      </w:pPr>
      <w:r>
        <w:rPr>
          <w:color w:val="6E6158"/>
        </w:rPr>
        <w:t>Representation of a private renewable energy company in the acquisition and development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wind farms in Texas.</w:t>
      </w:r>
    </w:p>
    <w:p>
      <w:pPr>
        <w:pStyle w:val="BodyText"/>
        <w:spacing w:before="123"/>
      </w:pPr>
      <w:r>
        <w:rPr>
          <w:color w:val="6E6158"/>
        </w:rPr>
        <w:t>Development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a</w:t>
      </w:r>
      <w:r>
        <w:rPr>
          <w:color w:val="6E6158"/>
          <w:spacing w:val="11"/>
        </w:rPr>
        <w:t> </w:t>
      </w:r>
      <w:r>
        <w:rPr>
          <w:color w:val="6E6158"/>
        </w:rPr>
        <w:t>natural</w:t>
      </w:r>
      <w:r>
        <w:rPr>
          <w:color w:val="6E6158"/>
          <w:spacing w:val="11"/>
        </w:rPr>
        <w:t> </w:t>
      </w:r>
      <w:r>
        <w:rPr>
          <w:color w:val="6E6158"/>
        </w:rPr>
        <w:t>gas</w:t>
      </w:r>
      <w:r>
        <w:rPr>
          <w:color w:val="6E6158"/>
          <w:spacing w:val="10"/>
        </w:rPr>
        <w:t> </w:t>
      </w:r>
      <w:r>
        <w:rPr>
          <w:color w:val="6E6158"/>
        </w:rPr>
        <w:t>to</w:t>
      </w:r>
      <w:r>
        <w:rPr>
          <w:color w:val="6E6158"/>
          <w:spacing w:val="11"/>
        </w:rPr>
        <w:t> </w:t>
      </w:r>
      <w:r>
        <w:rPr>
          <w:color w:val="6E6158"/>
        </w:rPr>
        <w:t>methanol</w:t>
      </w:r>
      <w:r>
        <w:rPr>
          <w:color w:val="6E6158"/>
          <w:spacing w:val="11"/>
        </w:rPr>
        <w:t> </w:t>
      </w:r>
      <w:r>
        <w:rPr>
          <w:color w:val="6E6158"/>
        </w:rPr>
        <w:t>facility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Louisiana.</w:t>
      </w:r>
    </w:p>
    <w:p>
      <w:pPr>
        <w:pStyle w:val="BodyText"/>
        <w:spacing w:line="292" w:lineRule="auto" w:before="182"/>
        <w:ind w:right="989"/>
      </w:pPr>
      <w:r>
        <w:rPr>
          <w:color w:val="6E6158"/>
        </w:rPr>
        <w:t>Site</w:t>
      </w:r>
      <w:r>
        <w:rPr>
          <w:color w:val="6E6158"/>
          <w:spacing w:val="16"/>
        </w:rPr>
        <w:t> </w:t>
      </w:r>
      <w:r>
        <w:rPr>
          <w:color w:val="6E6158"/>
        </w:rPr>
        <w:t>acquisition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evaluation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mineral</w:t>
      </w:r>
      <w:r>
        <w:rPr>
          <w:color w:val="6E6158"/>
          <w:spacing w:val="16"/>
        </w:rPr>
        <w:t> </w:t>
      </w:r>
      <w:r>
        <w:rPr>
          <w:color w:val="6E6158"/>
        </w:rPr>
        <w:t>rights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entitlements</w:t>
      </w:r>
      <w:r>
        <w:rPr>
          <w:color w:val="6E6158"/>
          <w:spacing w:val="16"/>
        </w:rPr>
        <w:t> </w:t>
      </w:r>
      <w:r>
        <w:rPr>
          <w:color w:val="6E6158"/>
        </w:rPr>
        <w:t>for</w:t>
      </w:r>
      <w:r>
        <w:rPr>
          <w:color w:val="6E6158"/>
          <w:spacing w:val="16"/>
        </w:rPr>
        <w:t> </w:t>
      </w:r>
      <w:r>
        <w:rPr>
          <w:color w:val="6E6158"/>
        </w:rPr>
        <w:t>an</w:t>
      </w:r>
      <w:r>
        <w:rPr>
          <w:color w:val="6E6158"/>
          <w:spacing w:val="16"/>
        </w:rPr>
        <w:t> </w:t>
      </w:r>
      <w:r>
        <w:rPr>
          <w:color w:val="6E6158"/>
        </w:rPr>
        <w:t>11,000-acre</w:t>
      </w:r>
      <w:r>
        <w:rPr>
          <w:color w:val="6E6158"/>
          <w:spacing w:val="16"/>
        </w:rPr>
        <w:t> </w:t>
      </w:r>
      <w:r>
        <w:rPr>
          <w:color w:val="6E6158"/>
        </w:rPr>
        <w:t>master-planned residential development for a national developer.</w:t>
      </w:r>
    </w:p>
    <w:p>
      <w:pPr>
        <w:pStyle w:val="BodyText"/>
        <w:spacing w:line="292" w:lineRule="auto" w:before="124"/>
        <w:ind w:right="712"/>
      </w:pPr>
      <w:r>
        <w:rPr>
          <w:color w:val="6E6158"/>
        </w:rPr>
        <w:t>Representation of clients in identifying and resolving potential conflicts between surface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mineral</w:t>
      </w:r>
      <w:r>
        <w:rPr>
          <w:color w:val="6E6158"/>
          <w:spacing w:val="40"/>
        </w:rPr>
        <w:t> </w:t>
      </w:r>
      <w:r>
        <w:rPr>
          <w:color w:val="6E6158"/>
        </w:rPr>
        <w:t>estates,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preparation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negotiation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surface</w:t>
      </w:r>
      <w:r>
        <w:rPr>
          <w:color w:val="6E6158"/>
          <w:spacing w:val="40"/>
        </w:rPr>
        <w:t> </w:t>
      </w:r>
      <w:r>
        <w:rPr>
          <w:color w:val="6E6158"/>
        </w:rPr>
        <w:t>use</w:t>
      </w:r>
      <w:r>
        <w:rPr>
          <w:color w:val="6E6158"/>
          <w:spacing w:val="40"/>
        </w:rPr>
        <w:t> </w:t>
      </w:r>
      <w:r>
        <w:rPr>
          <w:color w:val="6E6158"/>
        </w:rPr>
        <w:t>agreements.</w:t>
      </w:r>
    </w:p>
    <w:p>
      <w:pPr>
        <w:pStyle w:val="BodyText"/>
        <w:spacing w:line="292" w:lineRule="auto" w:before="131"/>
        <w:ind w:right="512"/>
      </w:pPr>
      <w:r>
        <w:rPr>
          <w:color w:val="6E6158"/>
        </w:rPr>
        <w:t>Representation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4"/>
        </w:rPr>
        <w:t> </w:t>
      </w:r>
      <w:r>
        <w:rPr>
          <w:color w:val="6E6158"/>
        </w:rPr>
        <w:t>purchaser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a</w:t>
      </w:r>
      <w:r>
        <w:rPr>
          <w:color w:val="6E6158"/>
          <w:spacing w:val="14"/>
        </w:rPr>
        <w:t> </w:t>
      </w:r>
      <w:r>
        <w:rPr>
          <w:color w:val="6E6158"/>
        </w:rPr>
        <w:t>majority</w:t>
      </w:r>
      <w:r>
        <w:rPr>
          <w:color w:val="6E6158"/>
          <w:spacing w:val="14"/>
        </w:rPr>
        <w:t> </w:t>
      </w:r>
      <w:r>
        <w:rPr>
          <w:color w:val="6E6158"/>
        </w:rPr>
        <w:t>interest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4"/>
        </w:rPr>
        <w:t> </w:t>
      </w:r>
      <w:r>
        <w:rPr>
          <w:color w:val="6E6158"/>
        </w:rPr>
        <w:t>entities</w:t>
      </w:r>
      <w:r>
        <w:rPr>
          <w:color w:val="6E6158"/>
          <w:spacing w:val="14"/>
        </w:rPr>
        <w:t> </w:t>
      </w:r>
      <w:r>
        <w:rPr>
          <w:color w:val="6E6158"/>
        </w:rPr>
        <w:t>that</w:t>
      </w:r>
      <w:r>
        <w:rPr>
          <w:color w:val="6E6158"/>
          <w:spacing w:val="14"/>
        </w:rPr>
        <w:t> </w:t>
      </w:r>
      <w:r>
        <w:rPr>
          <w:color w:val="6E6158"/>
        </w:rPr>
        <w:t>owned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4"/>
        </w:rPr>
        <w:t> </w:t>
      </w:r>
      <w:r>
        <w:rPr>
          <w:color w:val="6E6158"/>
        </w:rPr>
        <w:t>Woodlands, a 28,000-acre master-planned community located north of Houston, Texas.</w:t>
      </w:r>
    </w:p>
    <w:p>
      <w:pPr>
        <w:pStyle w:val="BodyText"/>
        <w:spacing w:before="123"/>
      </w:pPr>
      <w:r>
        <w:rPr>
          <w:color w:val="6E6158"/>
        </w:rPr>
        <w:t>Representation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an</w:t>
      </w:r>
      <w:r>
        <w:rPr>
          <w:color w:val="6E6158"/>
          <w:spacing w:val="13"/>
        </w:rPr>
        <w:t> </w:t>
      </w:r>
      <w:r>
        <w:rPr>
          <w:color w:val="6E6158"/>
        </w:rPr>
        <w:t>international</w:t>
      </w:r>
      <w:r>
        <w:rPr>
          <w:color w:val="6E6158"/>
          <w:spacing w:val="14"/>
        </w:rPr>
        <w:t> </w:t>
      </w:r>
      <w:r>
        <w:rPr>
          <w:color w:val="6E6158"/>
        </w:rPr>
        <w:t>retailer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acquiring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developing</w:t>
      </w:r>
      <w:r>
        <w:rPr>
          <w:color w:val="6E6158"/>
          <w:spacing w:val="14"/>
        </w:rPr>
        <w:t> </w:t>
      </w:r>
      <w:r>
        <w:rPr>
          <w:color w:val="6E6158"/>
        </w:rPr>
        <w:t>store</w:t>
      </w:r>
      <w:r>
        <w:rPr>
          <w:color w:val="6E6158"/>
          <w:spacing w:val="14"/>
        </w:rPr>
        <w:t> </w:t>
      </w:r>
      <w:r>
        <w:rPr>
          <w:color w:val="6E6158"/>
        </w:rPr>
        <w:t>sites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throughout</w:t>
      </w:r>
    </w:p>
    <w:p>
      <w:pPr>
        <w:pStyle w:val="BodyText"/>
        <w:spacing w:line="302" w:lineRule="auto" w:before="52"/>
        <w:ind w:right="712"/>
      </w:pPr>
      <w:r>
        <w:rPr>
          <w:color w:val="6E6158"/>
        </w:rPr>
        <w:t>Texas, plus representation concerning disputes involving construction, real estate </w:t>
      </w:r>
      <w:r>
        <w:rPr>
          <w:color w:val="6E6158"/>
        </w:rPr>
        <w:t>development,</w:t>
      </w:r>
      <w:r>
        <w:rPr>
          <w:color w:val="6E6158"/>
          <w:spacing w:val="40"/>
        </w:rPr>
        <w:t> </w:t>
      </w:r>
      <w:r>
        <w:rPr>
          <w:color w:val="6E6158"/>
        </w:rPr>
        <w:t>and landlord/tenant issues.</w:t>
      </w:r>
    </w:p>
    <w:p>
      <w:pPr>
        <w:pStyle w:val="BodyText"/>
        <w:spacing w:line="292" w:lineRule="auto" w:before="113"/>
        <w:ind w:right="474"/>
      </w:pPr>
      <w:r>
        <w:rPr>
          <w:color w:val="6E6158"/>
        </w:rPr>
        <w:t>Representation of real estate investment management firm in the acquisition of a 560,000 square</w:t>
      </w:r>
      <w:r>
        <w:rPr>
          <w:color w:val="6E6158"/>
          <w:spacing w:val="40"/>
        </w:rPr>
        <w:t> </w:t>
      </w:r>
      <w:r>
        <w:rPr>
          <w:color w:val="6E6158"/>
        </w:rPr>
        <w:t>foot mixed-use project in Dallas, Texas.</w:t>
      </w:r>
    </w:p>
    <w:p>
      <w:pPr>
        <w:pStyle w:val="BodyText"/>
        <w:spacing w:line="292" w:lineRule="auto" w:before="131"/>
        <w:ind w:right="712"/>
      </w:pPr>
      <w:r>
        <w:rPr>
          <w:color w:val="6E6158"/>
        </w:rPr>
        <w:t>Counsel to a national bank on a series of revolving credit and term loans totaling $53 million to a</w:t>
      </w:r>
      <w:r>
        <w:rPr>
          <w:color w:val="6E6158"/>
          <w:spacing w:val="40"/>
        </w:rPr>
        <w:t> </w:t>
      </w:r>
      <w:r>
        <w:rPr>
          <w:color w:val="6E6158"/>
        </w:rPr>
        <w:t>privately owned motor fuel distributor.</w:t>
      </w:r>
    </w:p>
    <w:p>
      <w:pPr>
        <w:pStyle w:val="BodyText"/>
        <w:spacing w:line="297" w:lineRule="auto" w:before="124"/>
        <w:ind w:right="712"/>
      </w:pPr>
      <w:r>
        <w:rPr>
          <w:color w:val="6E6158"/>
        </w:rPr>
        <w:t>Represented</w:t>
      </w:r>
      <w:r>
        <w:rPr>
          <w:color w:val="6E6158"/>
          <w:spacing w:val="34"/>
        </w:rPr>
        <w:t> </w:t>
      </w:r>
      <w:r>
        <w:rPr>
          <w:color w:val="6E6158"/>
        </w:rPr>
        <w:t>a</w:t>
      </w:r>
      <w:r>
        <w:rPr>
          <w:color w:val="6E6158"/>
          <w:spacing w:val="34"/>
        </w:rPr>
        <w:t> </w:t>
      </w:r>
      <w:r>
        <w:rPr>
          <w:color w:val="6E6158"/>
        </w:rPr>
        <w:t>municipal</w:t>
      </w:r>
      <w:r>
        <w:rPr>
          <w:color w:val="6E6158"/>
          <w:spacing w:val="34"/>
        </w:rPr>
        <w:t> </w:t>
      </w:r>
      <w:r>
        <w:rPr>
          <w:color w:val="6E6158"/>
        </w:rPr>
        <w:t>power</w:t>
      </w:r>
      <w:r>
        <w:rPr>
          <w:color w:val="6E6158"/>
          <w:spacing w:val="34"/>
        </w:rPr>
        <w:t> </w:t>
      </w:r>
      <w:r>
        <w:rPr>
          <w:color w:val="6E6158"/>
        </w:rPr>
        <w:t>agency</w:t>
      </w:r>
      <w:r>
        <w:rPr>
          <w:color w:val="6E6158"/>
          <w:spacing w:val="34"/>
        </w:rPr>
        <w:t> </w:t>
      </w:r>
      <w:r>
        <w:rPr>
          <w:color w:val="6E6158"/>
        </w:rPr>
        <w:t>in</w:t>
      </w:r>
      <w:r>
        <w:rPr>
          <w:color w:val="6E6158"/>
          <w:spacing w:val="34"/>
        </w:rPr>
        <w:t> </w:t>
      </w:r>
      <w:r>
        <w:rPr>
          <w:color w:val="6E6158"/>
        </w:rPr>
        <w:t>connection</w:t>
      </w:r>
      <w:r>
        <w:rPr>
          <w:color w:val="6E6158"/>
          <w:spacing w:val="34"/>
        </w:rPr>
        <w:t> </w:t>
      </w:r>
      <w:r>
        <w:rPr>
          <w:color w:val="6E6158"/>
        </w:rPr>
        <w:t>with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acquisition</w:t>
      </w:r>
      <w:r>
        <w:rPr>
          <w:color w:val="6E6158"/>
          <w:spacing w:val="34"/>
        </w:rPr>
        <w:t> </w:t>
      </w:r>
      <w:r>
        <w:rPr>
          <w:color w:val="6E6158"/>
        </w:rPr>
        <w:t>of</w:t>
      </w:r>
      <w:r>
        <w:rPr>
          <w:color w:val="6E6158"/>
          <w:spacing w:val="34"/>
        </w:rPr>
        <w:t> </w:t>
      </w:r>
      <w:r>
        <w:rPr>
          <w:color w:val="6E6158"/>
        </w:rPr>
        <w:t>easements required for the construction of electric power lines, and various water authorities and </w:t>
      </w:r>
      <w:r>
        <w:rPr>
          <w:color w:val="6E6158"/>
        </w:rPr>
        <w:t>municipal</w:t>
      </w:r>
      <w:r>
        <w:rPr>
          <w:color w:val="6E6158"/>
          <w:spacing w:val="40"/>
        </w:rPr>
        <w:t> </w:t>
      </w:r>
      <w:r>
        <w:rPr>
          <w:color w:val="6E6158"/>
        </w:rPr>
        <w:t>utility</w:t>
      </w:r>
      <w:r>
        <w:rPr>
          <w:color w:val="6E6158"/>
          <w:spacing w:val="29"/>
        </w:rPr>
        <w:t> </w:t>
      </w:r>
      <w:r>
        <w:rPr>
          <w:color w:val="6E6158"/>
        </w:rPr>
        <w:t>districts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connection</w:t>
      </w:r>
      <w:r>
        <w:rPr>
          <w:color w:val="6E6158"/>
          <w:spacing w:val="29"/>
        </w:rPr>
        <w:t> </w:t>
      </w:r>
      <w:r>
        <w:rPr>
          <w:color w:val="6E6158"/>
        </w:rPr>
        <w:t>with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acquisition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easements</w:t>
      </w:r>
      <w:r>
        <w:rPr>
          <w:color w:val="6E6158"/>
          <w:spacing w:val="29"/>
        </w:rPr>
        <w:t> </w:t>
      </w:r>
      <w:r>
        <w:rPr>
          <w:color w:val="6E6158"/>
        </w:rPr>
        <w:t>for</w:t>
      </w:r>
      <w:r>
        <w:rPr>
          <w:color w:val="6E6158"/>
          <w:spacing w:val="29"/>
        </w:rPr>
        <w:t> </w:t>
      </w:r>
      <w:r>
        <w:rPr>
          <w:color w:val="6E6158"/>
        </w:rPr>
        <w:t>water</w:t>
      </w:r>
      <w:r>
        <w:rPr>
          <w:color w:val="6E6158"/>
          <w:spacing w:val="29"/>
        </w:rPr>
        <w:t> </w:t>
      </w:r>
      <w:r>
        <w:rPr>
          <w:color w:val="6E6158"/>
        </w:rPr>
        <w:t>lines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drainage</w:t>
      </w:r>
    </w:p>
    <w:p>
      <w:pPr>
        <w:pStyle w:val="BodyText"/>
        <w:spacing w:line="229" w:lineRule="exact"/>
      </w:pPr>
      <w:r>
        <w:rPr>
          <w:color w:val="6E6158"/>
          <w:spacing w:val="-2"/>
        </w:rPr>
        <w:t>facilities.</w:t>
      </w:r>
    </w:p>
    <w:p>
      <w:pPr>
        <w:pStyle w:val="BodyText"/>
        <w:spacing w:before="174"/>
      </w:pPr>
      <w:r>
        <w:rPr>
          <w:color w:val="6E6158"/>
        </w:rPr>
        <w:t>Represented</w:t>
      </w:r>
      <w:r>
        <w:rPr>
          <w:color w:val="6E6158"/>
          <w:spacing w:val="15"/>
        </w:rPr>
        <w:t> </w:t>
      </w:r>
      <w:r>
        <w:rPr>
          <w:color w:val="6E6158"/>
        </w:rPr>
        <w:t>various</w:t>
      </w:r>
      <w:r>
        <w:rPr>
          <w:color w:val="6E6158"/>
          <w:spacing w:val="16"/>
        </w:rPr>
        <w:t> </w:t>
      </w:r>
      <w:r>
        <w:rPr>
          <w:color w:val="6E6158"/>
        </w:rPr>
        <w:t>large</w:t>
      </w:r>
      <w:r>
        <w:rPr>
          <w:color w:val="6E6158"/>
          <w:spacing w:val="16"/>
        </w:rPr>
        <w:t> </w:t>
      </w:r>
      <w:r>
        <w:rPr>
          <w:color w:val="6E6158"/>
        </w:rPr>
        <w:t>pipeline</w:t>
      </w:r>
      <w:r>
        <w:rPr>
          <w:color w:val="6E6158"/>
          <w:spacing w:val="16"/>
        </w:rPr>
        <w:t> </w:t>
      </w:r>
      <w:r>
        <w:rPr>
          <w:color w:val="6E6158"/>
        </w:rPr>
        <w:t>companies</w:t>
      </w:r>
      <w:r>
        <w:rPr>
          <w:color w:val="6E6158"/>
          <w:spacing w:val="16"/>
        </w:rPr>
        <w:t> </w:t>
      </w:r>
      <w:r>
        <w:rPr>
          <w:color w:val="6E6158"/>
        </w:rPr>
        <w:t>in</w:t>
      </w:r>
      <w:r>
        <w:rPr>
          <w:color w:val="6E6158"/>
          <w:spacing w:val="16"/>
        </w:rPr>
        <w:t> </w:t>
      </w:r>
      <w:r>
        <w:rPr>
          <w:color w:val="6E6158"/>
        </w:rPr>
        <w:t>connection</w:t>
      </w:r>
      <w:r>
        <w:rPr>
          <w:color w:val="6E6158"/>
          <w:spacing w:val="16"/>
        </w:rPr>
        <w:t> </w:t>
      </w:r>
      <w:r>
        <w:rPr>
          <w:color w:val="6E6158"/>
        </w:rPr>
        <w:t>with</w:t>
      </w:r>
      <w:r>
        <w:rPr>
          <w:color w:val="6E6158"/>
          <w:spacing w:val="16"/>
        </w:rPr>
        <w:t> </w:t>
      </w:r>
      <w:r>
        <w:rPr>
          <w:color w:val="6E6158"/>
        </w:rPr>
        <w:t>right-of-way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acquisitions.</w:t>
      </w:r>
    </w:p>
    <w:p>
      <w:pPr>
        <w:pStyle w:val="BodyText"/>
        <w:spacing w:line="302" w:lineRule="auto" w:before="173"/>
        <w:ind w:right="712"/>
      </w:pPr>
      <w:r>
        <w:rPr>
          <w:color w:val="6E6158"/>
        </w:rPr>
        <w:t>Representation of owners of a Nevada company in the sale of $170 million in equipment and</w:t>
      </w:r>
      <w:r>
        <w:rPr>
          <w:color w:val="6E6158"/>
          <w:spacing w:val="40"/>
        </w:rPr>
        <w:t> </w:t>
      </w:r>
      <w:r>
        <w:rPr>
          <w:color w:val="6E6158"/>
        </w:rPr>
        <w:t>other hard assets.</w:t>
      </w:r>
    </w:p>
    <w:p>
      <w:pPr>
        <w:pStyle w:val="BodyText"/>
        <w:spacing w:before="102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 Lawyers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1"/>
          <w:sz w:val="20"/>
        </w:rPr>
        <w:t> </w:t>
      </w:r>
      <w:r>
        <w:rPr>
          <w:color w:val="6E6158"/>
          <w:sz w:val="19"/>
        </w:rPr>
        <w:t>Project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Finance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2025;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Real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Estate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Energy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2023-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before="160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18"/>
        <w:ind w:left="0"/>
        <w:rPr>
          <w:b/>
        </w:rPr>
      </w:pPr>
    </w:p>
    <w:p>
      <w:pPr>
        <w:pStyle w:val="BodyText"/>
        <w:spacing w:line="285" w:lineRule="auto"/>
        <w:ind w:right="712"/>
      </w:pPr>
      <w:r>
        <w:rPr>
          <w:color w:val="6E6158"/>
        </w:rPr>
        <w:t>Panelist, “Responding to COVID-19: The Impact of Remote Work on Attorneys,” </w:t>
      </w:r>
      <w:r>
        <w:rPr>
          <w:i/>
          <w:color w:val="6E6158"/>
          <w:sz w:val="20"/>
        </w:rPr>
        <w:t>Law </w:t>
      </w:r>
      <w:r>
        <w:rPr>
          <w:i/>
          <w:color w:val="6E6158"/>
          <w:sz w:val="20"/>
        </w:rPr>
        <w:t>Technology</w:t>
      </w:r>
      <w:r>
        <w:rPr>
          <w:i/>
          <w:color w:val="6E6158"/>
          <w:sz w:val="20"/>
        </w:rPr>
        <w:t> Today</w:t>
      </w:r>
      <w:r>
        <w:rPr>
          <w:color w:val="6E6158"/>
        </w:rPr>
        <w:t>, March 30, 2020</w:t>
      </w:r>
    </w:p>
    <w:p>
      <w:pPr>
        <w:pStyle w:val="BodyText"/>
        <w:spacing w:before="116"/>
      </w:pPr>
      <w:r>
        <w:rPr>
          <w:color w:val="6E6158"/>
        </w:rPr>
        <w:t>Author,</w:t>
      </w:r>
      <w:r>
        <w:rPr>
          <w:color w:val="6E6158"/>
          <w:spacing w:val="5"/>
        </w:rPr>
        <w:t> </w:t>
      </w:r>
      <w:r>
        <w:rPr>
          <w:color w:val="6E6158"/>
        </w:rPr>
        <w:t>“A</w:t>
      </w:r>
      <w:r>
        <w:rPr>
          <w:color w:val="6E6158"/>
          <w:spacing w:val="6"/>
        </w:rPr>
        <w:t> </w:t>
      </w:r>
      <w:r>
        <w:rPr>
          <w:color w:val="6E6158"/>
        </w:rPr>
        <w:t>Potential</w:t>
      </w:r>
      <w:r>
        <w:rPr>
          <w:color w:val="6E6158"/>
          <w:spacing w:val="5"/>
        </w:rPr>
        <w:t> </w:t>
      </w:r>
      <w:r>
        <w:rPr>
          <w:color w:val="6E6158"/>
        </w:rPr>
        <w:t>Solution</w:t>
      </w:r>
      <w:r>
        <w:rPr>
          <w:color w:val="6E6158"/>
          <w:spacing w:val="6"/>
        </w:rPr>
        <w:t> </w:t>
      </w:r>
      <w:r>
        <w:rPr>
          <w:color w:val="6E6158"/>
        </w:rPr>
        <w:t>to</w:t>
      </w:r>
      <w:r>
        <w:rPr>
          <w:color w:val="6E6158"/>
          <w:spacing w:val="5"/>
        </w:rPr>
        <w:t> </w:t>
      </w:r>
      <w:r>
        <w:rPr>
          <w:color w:val="6E6158"/>
        </w:rPr>
        <w:t>Short-Term</w:t>
      </w:r>
      <w:r>
        <w:rPr>
          <w:color w:val="6E6158"/>
          <w:spacing w:val="6"/>
        </w:rPr>
        <w:t> </w:t>
      </w:r>
      <w:r>
        <w:rPr>
          <w:color w:val="6E6158"/>
        </w:rPr>
        <w:t>Rentals,”</w:t>
      </w:r>
      <w:r>
        <w:rPr>
          <w:color w:val="6E6158"/>
          <w:spacing w:val="5"/>
        </w:rPr>
        <w:t> </w:t>
      </w:r>
      <w:r>
        <w:rPr>
          <w:i/>
          <w:color w:val="6E6158"/>
          <w:sz w:val="20"/>
        </w:rPr>
        <w:t>Daily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z w:val="20"/>
        </w:rPr>
        <w:t>Journal,</w:t>
      </w:r>
      <w:r>
        <w:rPr>
          <w:i/>
          <w:color w:val="6E6158"/>
          <w:spacing w:val="2"/>
          <w:sz w:val="20"/>
        </w:rPr>
        <w:t> </w:t>
      </w:r>
      <w:r>
        <w:rPr>
          <w:color w:val="6E6158"/>
        </w:rPr>
        <w:t>February</w:t>
      </w:r>
      <w:r>
        <w:rPr>
          <w:color w:val="6E6158"/>
          <w:spacing w:val="6"/>
        </w:rPr>
        <w:t> </w:t>
      </w:r>
      <w:r>
        <w:rPr>
          <w:color w:val="6E6158"/>
        </w:rPr>
        <w:t>26,</w:t>
      </w:r>
      <w:r>
        <w:rPr>
          <w:color w:val="6E6158"/>
          <w:spacing w:val="6"/>
        </w:rPr>
        <w:t> </w:t>
      </w:r>
      <w:r>
        <w:rPr>
          <w:color w:val="6E6158"/>
          <w:spacing w:val="-4"/>
        </w:rPr>
        <w:t>2018</w:t>
      </w:r>
    </w:p>
    <w:p>
      <w:pPr>
        <w:spacing w:line="288" w:lineRule="auto" w:before="162"/>
        <w:ind w:left="99" w:right="712" w:firstLine="0"/>
        <w:jc w:val="left"/>
        <w:rPr>
          <w:sz w:val="19"/>
        </w:rPr>
      </w:pPr>
      <w:hyperlink r:id="rId11">
        <w:r>
          <w:rPr>
            <w:color w:val="FF8100"/>
            <w:sz w:val="19"/>
          </w:rPr>
          <w:t>Author, “A Potential Solution to Short-Term Rentals,”</w:t>
        </w:r>
      </w:hyperlink>
      <w:r>
        <w:rPr>
          <w:color w:val="FF8100"/>
          <w:sz w:val="19"/>
        </w:rPr>
        <w:t> </w:t>
      </w:r>
      <w:hyperlink r:id="rId11">
        <w:r>
          <w:rPr>
            <w:i/>
            <w:color w:val="FF8100"/>
            <w:sz w:val="20"/>
          </w:rPr>
          <w:t>Real</w:t>
        </w:r>
        <w:r>
          <w:rPr>
            <w:i/>
            <w:color w:val="FF8100"/>
            <w:spacing w:val="-3"/>
            <w:sz w:val="20"/>
          </w:rPr>
          <w:t> </w:t>
        </w:r>
        <w:r>
          <w:rPr>
            <w:i/>
            <w:color w:val="FF8100"/>
            <w:sz w:val="20"/>
          </w:rPr>
          <w:t>Estate</w:t>
        </w:r>
        <w:r>
          <w:rPr>
            <w:i/>
            <w:color w:val="FF8100"/>
            <w:spacing w:val="-3"/>
            <w:sz w:val="20"/>
          </w:rPr>
          <w:t> </w:t>
        </w:r>
        <w:r>
          <w:rPr>
            <w:i/>
            <w:color w:val="FF8100"/>
            <w:sz w:val="20"/>
          </w:rPr>
          <w:t>Daily</w:t>
        </w:r>
        <w:r>
          <w:rPr>
            <w:i/>
            <w:color w:val="FF8100"/>
            <w:spacing w:val="-3"/>
            <w:sz w:val="20"/>
          </w:rPr>
          <w:t> </w:t>
        </w:r>
        <w:r>
          <w:rPr>
            <w:i/>
            <w:color w:val="FF8100"/>
            <w:sz w:val="20"/>
          </w:rPr>
          <w:t>News</w:t>
        </w:r>
        <w:r>
          <w:rPr>
            <w:i/>
            <w:color w:val="FF8100"/>
            <w:spacing w:val="-3"/>
            <w:sz w:val="20"/>
          </w:rPr>
          <w:t> </w:t>
        </w:r>
        <w:r>
          <w:rPr>
            <w:i/>
            <w:color w:val="FF8100"/>
            <w:sz w:val="20"/>
          </w:rPr>
          <w:t>and</w:t>
        </w:r>
        <w:r>
          <w:rPr>
            <w:i/>
            <w:color w:val="FF8100"/>
            <w:spacing w:val="-3"/>
            <w:sz w:val="20"/>
          </w:rPr>
          <w:t> </w:t>
        </w:r>
        <w:r>
          <w:rPr>
            <w:i/>
            <w:color w:val="FF8100"/>
            <w:sz w:val="20"/>
          </w:rPr>
          <w:t>RED</w:t>
        </w:r>
        <w:r>
          <w:rPr>
            <w:i/>
            <w:color w:val="FF8100"/>
            <w:spacing w:val="-3"/>
            <w:sz w:val="20"/>
          </w:rPr>
          <w:t> </w:t>
        </w:r>
        <w:r>
          <w:rPr>
            <w:i/>
            <w:color w:val="FF8100"/>
            <w:sz w:val="20"/>
          </w:rPr>
          <w:t>Comps</w:t>
        </w:r>
      </w:hyperlink>
      <w:hyperlink r:id="rId11">
        <w:r>
          <w:rPr>
            <w:color w:val="FF8100"/>
            <w:sz w:val="19"/>
          </w:rPr>
          <w:t>,</w:t>
        </w:r>
      </w:hyperlink>
      <w:r>
        <w:rPr>
          <w:color w:val="FF8100"/>
          <w:sz w:val="19"/>
        </w:rPr>
        <w:t> </w:t>
      </w:r>
      <w:hyperlink r:id="rId11">
        <w:r>
          <w:rPr>
            <w:color w:val="FF8100"/>
            <w:sz w:val="19"/>
          </w:rPr>
          <w:t>February 15, 2018</w:t>
        </w:r>
      </w:hyperlink>
    </w:p>
    <w:p>
      <w:pPr>
        <w:pStyle w:val="BodyText"/>
        <w:spacing w:before="125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 w:before="1"/>
        <w:ind w:right="6109"/>
      </w:pPr>
      <w:r>
        <w:rPr>
          <w:color w:val="6E6158"/>
        </w:rPr>
        <w:t>Member, State Bar of </w:t>
      </w:r>
      <w:r>
        <w:rPr>
          <w:color w:val="6E6158"/>
        </w:rPr>
        <w:t>Arizona Member, State Bar of Texas</w:t>
      </w:r>
    </w:p>
    <w:p>
      <w:pPr>
        <w:pStyle w:val="BodyText"/>
        <w:spacing w:after="0" w:line="420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Member,</w:t>
      </w:r>
      <w:r>
        <w:rPr>
          <w:color w:val="6E6158"/>
          <w:spacing w:val="4"/>
        </w:rPr>
        <w:t> </w:t>
      </w:r>
      <w:r>
        <w:rPr>
          <w:color w:val="6E6158"/>
        </w:rPr>
        <w:t>State</w:t>
      </w:r>
      <w:r>
        <w:rPr>
          <w:color w:val="6E6158"/>
          <w:spacing w:val="5"/>
        </w:rPr>
        <w:t> </w:t>
      </w:r>
      <w:r>
        <w:rPr>
          <w:color w:val="6E6158"/>
        </w:rPr>
        <w:t>Bar</w:t>
      </w:r>
      <w:r>
        <w:rPr>
          <w:color w:val="6E6158"/>
          <w:spacing w:val="5"/>
        </w:rPr>
        <w:t> </w:t>
      </w:r>
      <w:r>
        <w:rPr>
          <w:color w:val="6E6158"/>
        </w:rPr>
        <w:t>of</w:t>
      </w:r>
      <w:r>
        <w:rPr>
          <w:color w:val="6E6158"/>
          <w:spacing w:val="4"/>
        </w:rPr>
        <w:t> </w:t>
      </w:r>
      <w:r>
        <w:rPr>
          <w:color w:val="6E6158"/>
          <w:spacing w:val="-2"/>
        </w:rPr>
        <w:t>Nevada</w:t>
      </w:r>
    </w:p>
    <w:p>
      <w:pPr>
        <w:pStyle w:val="BodyText"/>
        <w:spacing w:before="174"/>
      </w:pPr>
      <w:r>
        <w:rPr>
          <w:color w:val="6E6158"/>
        </w:rPr>
        <w:t>Councilman,</w:t>
      </w:r>
      <w:r>
        <w:rPr>
          <w:color w:val="6E6158"/>
          <w:spacing w:val="18"/>
        </w:rPr>
        <w:t> </w:t>
      </w:r>
      <w:r>
        <w:rPr>
          <w:color w:val="6E6158"/>
        </w:rPr>
        <w:t>Sedona</w:t>
      </w:r>
      <w:r>
        <w:rPr>
          <w:color w:val="6E6158"/>
          <w:spacing w:val="19"/>
        </w:rPr>
        <w:t> </w:t>
      </w:r>
      <w:r>
        <w:rPr>
          <w:color w:val="6E6158"/>
        </w:rPr>
        <w:t>City</w:t>
      </w:r>
      <w:r>
        <w:rPr>
          <w:color w:val="6E6158"/>
          <w:spacing w:val="18"/>
        </w:rPr>
        <w:t> </w:t>
      </w:r>
      <w:r>
        <w:rPr>
          <w:color w:val="6E6158"/>
        </w:rPr>
        <w:t>Council,</w:t>
      </w:r>
      <w:r>
        <w:rPr>
          <w:color w:val="6E6158"/>
          <w:spacing w:val="19"/>
        </w:rPr>
        <w:t> </w:t>
      </w:r>
      <w:r>
        <w:rPr>
          <w:color w:val="6E6158"/>
        </w:rPr>
        <w:t>2024-</w:t>
      </w:r>
      <w:r>
        <w:rPr>
          <w:color w:val="6E6158"/>
          <w:spacing w:val="-2"/>
        </w:rPr>
        <w:t>present</w:t>
      </w:r>
    </w:p>
    <w:p>
      <w:pPr>
        <w:pStyle w:val="BodyText"/>
        <w:spacing w:before="182"/>
      </w:pPr>
      <w:r>
        <w:rPr>
          <w:color w:val="6E6158"/>
        </w:rPr>
        <w:t>Appointed</w:t>
      </w:r>
      <w:r>
        <w:rPr>
          <w:color w:val="6E6158"/>
          <w:spacing w:val="17"/>
        </w:rPr>
        <w:t> </w:t>
      </w:r>
      <w:r>
        <w:rPr>
          <w:color w:val="6E6158"/>
        </w:rPr>
        <w:t>Member,</w:t>
      </w:r>
      <w:r>
        <w:rPr>
          <w:color w:val="6E6158"/>
          <w:spacing w:val="17"/>
        </w:rPr>
        <w:t> </w:t>
      </w:r>
      <w:r>
        <w:rPr>
          <w:color w:val="6E6158"/>
        </w:rPr>
        <w:t>Sedona</w:t>
      </w:r>
      <w:r>
        <w:rPr>
          <w:color w:val="6E6158"/>
          <w:spacing w:val="17"/>
        </w:rPr>
        <w:t> </w:t>
      </w:r>
      <w:r>
        <w:rPr>
          <w:color w:val="6E6158"/>
        </w:rPr>
        <w:t>Historic</w:t>
      </w:r>
      <w:r>
        <w:rPr>
          <w:color w:val="6E6158"/>
          <w:spacing w:val="17"/>
        </w:rPr>
        <w:t> </w:t>
      </w:r>
      <w:r>
        <w:rPr>
          <w:color w:val="6E6158"/>
        </w:rPr>
        <w:t>Preservation</w:t>
      </w:r>
      <w:r>
        <w:rPr>
          <w:color w:val="6E6158"/>
          <w:spacing w:val="18"/>
        </w:rPr>
        <w:t> </w:t>
      </w:r>
      <w:r>
        <w:rPr>
          <w:color w:val="6E6158"/>
        </w:rPr>
        <w:t>Commission,</w:t>
      </w:r>
      <w:r>
        <w:rPr>
          <w:color w:val="6E6158"/>
          <w:spacing w:val="17"/>
        </w:rPr>
        <w:t> </w:t>
      </w:r>
      <w:r>
        <w:rPr>
          <w:color w:val="6E6158"/>
        </w:rPr>
        <w:t>2016-</w:t>
      </w:r>
      <w:r>
        <w:rPr>
          <w:color w:val="6E6158"/>
          <w:spacing w:val="-4"/>
        </w:rPr>
        <w:t>2022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8404"/>
      </w:pPr>
      <w:r>
        <w:rPr>
          <w:color w:val="6E6158"/>
          <w:spacing w:val="-2"/>
        </w:rPr>
        <w:t>Arizona Nevada Texas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real-estate/" TargetMode="External"/><Relationship Id="rId9" Type="http://schemas.openxmlformats.org/officeDocument/2006/relationships/hyperlink" Target="https://www.fennemorelaw.com/contact-us/fennemore-forward/" TargetMode="External"/><Relationship Id="rId10" Type="http://schemas.openxmlformats.org/officeDocument/2006/relationships/hyperlink" Target="mailto:dpfaff@fennemorelaw.com" TargetMode="External"/><Relationship Id="rId11" Type="http://schemas.openxmlformats.org/officeDocument/2006/relationships/hyperlink" Target="https://realestatedaily-news.com/potential-solution-short-term-rental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Derek J. Pfaff - Fennemore</dc:title>
  <dcterms:created xsi:type="dcterms:W3CDTF">2026-08-20T19:12:43Z</dcterms:created>
  <dcterms:modified xsi:type="dcterms:W3CDTF">2026-08-20T19:12:43Z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2026-08-20T00:00:00Z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2026-08-20T00:00:00Z</vt:filetime>
  </property>
  <property fmtid="{D5CDD505-2E9C-101B-9397-08002B2CF9AE}" pid="6" name="Producer">
    <vt:lpwstr>Skia/PDF m151</vt:lpwstr>
  </property>
</Properties>
</file>