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39"/>
        </w:rPr>
      </w:pPr>
    </w:p>
    <w:p>
      <w:pPr>
        <w:pStyle w:val="BodyText"/>
        <w:spacing w:before="300"/>
        <w:rPr>
          <w:rFonts w:ascii="Times New Roman"/>
          <w:sz w:val="39"/>
        </w:rPr>
      </w:pPr>
    </w:p>
    <w:p>
      <w:pPr>
        <w:spacing w:before="0"/>
        <w:ind w:left="5736" w:right="0" w:firstLine="0"/>
        <w:jc w:val="left"/>
        <w:rPr>
          <w:sz w:val="39"/>
        </w:rPr>
      </w:pPr>
      <w:r>
        <w:rPr>
          <w:sz w:val="39"/>
        </w:rPr>
        <mc:AlternateContent>
          <mc:Choice Requires="wps">
            <w:drawing>
              <wp:anchor distT="0" distB="0" distL="0" distR="0" allowOverlap="1" layoutInCell="1" locked="0" behindDoc="1" simplePos="0" relativeHeight="487535616">
                <wp:simplePos x="0" y="0"/>
                <wp:positionH relativeFrom="page">
                  <wp:posOffset>848486</wp:posOffset>
                </wp:positionH>
                <wp:positionV relativeFrom="paragraph">
                  <wp:posOffset>-763221</wp:posOffset>
                </wp:positionV>
                <wp:extent cx="6071870" cy="40259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025900"/>
                          <a:chExt cx="6071870" cy="40259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88527"/>
                            <a:ext cx="6071870" cy="1137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137285">
                                <a:moveTo>
                                  <a:pt x="6071591" y="1136808"/>
                                </a:moveTo>
                                <a:lnTo>
                                  <a:pt x="0" y="1136808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1368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Shan Davis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710127" y="1369338"/>
                            <a:ext cx="168973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735" h="320675">
                                <a:moveTo>
                                  <a:pt x="1689709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689709" y="320382"/>
                                </a:lnTo>
                                <a:lnTo>
                                  <a:pt x="1689709" y="315214"/>
                                </a:lnTo>
                                <a:close/>
                              </a:path>
                              <a:path w="1689735" h="320675">
                                <a:moveTo>
                                  <a:pt x="16897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689709" y="5168"/>
                                </a:lnTo>
                                <a:lnTo>
                                  <a:pt x="16897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60.096191pt;width:478.1pt;height:317pt;mso-position-horizontal-relative:page;mso-position-vertical-relative:paragraph;z-index:-15780864" id="docshapegroup1" coordorigin="1336,-1202" coordsize="9562,6340">
                <v:rect style="position:absolute;left:1336;top:3346;width:9562;height:1791" id="docshape2" filled="true" fillcolor="#002e6d" stroked="false">
                  <v:fill type="solid"/>
                </v:rect>
                <v:shape style="position:absolute;left:1336;top:-1202;width:2165;height:424" type="#_x0000_t75" id="docshape3" alt="Fennemore" href="https://www.fennemorelaw.com/" stroked="false">
                  <v:imagedata r:id="rId5" o:title=""/>
                </v:shape>
                <v:shape style="position:absolute;left:1336;top:-779;width:4785;height:4126" type="#_x0000_t75" id="docshape4" alt="Shan Davis bio" stroked="false">
                  <v:imagedata r:id="rId7" o:title=""/>
                </v:shape>
                <v:rect style="position:absolute;left:6121;top:-779;width:4777;height:4126" id="docshape5" filled="true" fillcolor="#262424" stroked="false">
                  <v:fill type="solid"/>
                </v:rect>
                <v:shape style="position:absolute;left:7178;top:954;width:2661;height:505" id="docshape6" coordorigin="7179,955" coordsize="2661,505" path="m9840,1451l7179,1451,7179,1459,9840,1459,9840,1451xm9840,955l7179,955,7179,963,9840,963,9840,95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sz w:val="39"/>
        </w:rPr>
        <w:t>E. SHAN </w:t>
      </w:r>
      <w:r>
        <w:rPr>
          <w:color w:val="FFFFFF"/>
          <w:spacing w:val="-2"/>
          <w:sz w:val="39"/>
        </w:rPr>
        <w:t>DAVIS</w:t>
      </w:r>
    </w:p>
    <w:p>
      <w:pPr>
        <w:spacing w:before="39"/>
        <w:ind w:left="4774" w:right="0" w:firstLine="0"/>
        <w:jc w:val="center"/>
        <w:rPr>
          <w:sz w:val="24"/>
        </w:rPr>
      </w:pPr>
      <w:r>
        <w:rPr>
          <w:color w:val="FFFFFF"/>
          <w:spacing w:val="-2"/>
          <w:sz w:val="24"/>
        </w:rPr>
        <w:t>Paralegal</w:t>
      </w:r>
    </w:p>
    <w:p>
      <w:pPr>
        <w:spacing w:before="291"/>
        <w:ind w:left="4774" w:right="0" w:firstLine="0"/>
        <w:jc w:val="center"/>
        <w:rPr>
          <w:sz w:val="16"/>
        </w:rPr>
      </w:pPr>
      <w:hyperlink r:id="rId8">
        <w:r>
          <w:rPr>
            <w:color w:val="FFFFFF"/>
            <w:sz w:val="16"/>
          </w:rPr>
          <w:t>Business</w:t>
        </w:r>
        <w:r>
          <w:rPr>
            <w:color w:val="FFFFFF"/>
            <w:spacing w:val="6"/>
            <w:sz w:val="16"/>
          </w:rPr>
          <w:t> </w:t>
        </w:r>
        <w:r>
          <w:rPr>
            <w:color w:val="FFFFFF"/>
            <w:spacing w:val="-2"/>
            <w:sz w:val="16"/>
          </w:rPr>
          <w:t>Litigation</w:t>
        </w:r>
      </w:hyperlink>
    </w:p>
    <w:p>
      <w:pPr>
        <w:pStyle w:val="BodyText"/>
        <w:spacing w:before="8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92"/>
        <w:rPr>
          <w:sz w:val="24"/>
        </w:rPr>
      </w:pPr>
    </w:p>
    <w:p>
      <w:pPr>
        <w:pStyle w:val="Heading1"/>
        <w:spacing w:before="1"/>
      </w:pPr>
      <w:r>
        <w:rPr>
          <w:color w:val="002E6B"/>
        </w:rPr>
        <w:t>E.</w:t>
      </w:r>
      <w:r>
        <w:rPr>
          <w:color w:val="002E6B"/>
          <w:spacing w:val="5"/>
        </w:rPr>
        <w:t> </w:t>
      </w:r>
      <w:r>
        <w:rPr>
          <w:color w:val="002E6B"/>
        </w:rPr>
        <w:t>SHAN</w:t>
      </w:r>
      <w:r>
        <w:rPr>
          <w:color w:val="002E6B"/>
          <w:spacing w:val="5"/>
        </w:rPr>
        <w:t> </w:t>
      </w:r>
      <w:r>
        <w:rPr>
          <w:color w:val="002E6B"/>
          <w:spacing w:val="-150"/>
        </w:rPr>
        <w:t>D</w:t>
      </w:r>
      <w:r>
        <w:rPr>
          <w:b w:val="0"/>
          <w:color w:val="FFFFFF"/>
          <w:spacing w:val="-586"/>
          <w:w w:val="99"/>
          <w:position w:val="15"/>
          <w:sz w:val="145"/>
        </w:rPr>
        <w:t>“</w:t>
      </w:r>
      <w:r>
        <w:rPr>
          <w:color w:val="002E6B"/>
          <w:spacing w:val="-2"/>
        </w:rPr>
        <w:t>AVIS</w:t>
      </w:r>
    </w:p>
    <w:p>
      <w:pPr>
        <w:pStyle w:val="BodyText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spacing w:before="108"/>
        <w:rPr>
          <w:b/>
          <w:sz w:val="16"/>
        </w:rPr>
      </w:pPr>
    </w:p>
    <w:p>
      <w:pPr>
        <w:spacing w:before="0"/>
        <w:ind w:left="99" w:right="0" w:firstLine="0"/>
        <w:jc w:val="left"/>
        <w:rPr>
          <w:sz w:val="16"/>
        </w:rPr>
      </w:pPr>
      <w:r>
        <w:rPr>
          <w:color w:val="FFFFFF"/>
          <w:spacing w:val="-6"/>
          <w:sz w:val="16"/>
        </w:rPr>
        <w:t>Comfort</w:t>
      </w:r>
      <w:r>
        <w:rPr>
          <w:color w:val="FFFFFF"/>
          <w:sz w:val="16"/>
        </w:rPr>
        <w:t> </w:t>
      </w:r>
      <w:r>
        <w:rPr>
          <w:color w:val="FFFFFF"/>
          <w:spacing w:val="-6"/>
          <w:sz w:val="16"/>
        </w:rPr>
        <w:t>kills</w:t>
      </w:r>
      <w:r>
        <w:rPr>
          <w:color w:val="FFFFFF"/>
          <w:spacing w:val="1"/>
          <w:sz w:val="16"/>
        </w:rPr>
        <w:t> </w:t>
      </w:r>
      <w:r>
        <w:rPr>
          <w:color w:val="FFFFFF"/>
          <w:spacing w:val="-6"/>
          <w:sz w:val="16"/>
        </w:rPr>
        <w:t>ambition</w:t>
      </w:r>
      <w:r>
        <w:rPr>
          <w:color w:val="FFFFFF"/>
          <w:spacing w:val="1"/>
          <w:sz w:val="16"/>
        </w:rPr>
        <w:t> </w:t>
      </w:r>
      <w:r>
        <w:rPr>
          <w:color w:val="FFFFFF"/>
          <w:spacing w:val="-6"/>
          <w:sz w:val="16"/>
        </w:rPr>
        <w:t>over</w:t>
      </w:r>
      <w:r>
        <w:rPr>
          <w:color w:val="FFFFFF"/>
          <w:spacing w:val="1"/>
          <w:sz w:val="16"/>
        </w:rPr>
        <w:t> </w:t>
      </w:r>
      <w:r>
        <w:rPr>
          <w:color w:val="FFFFFF"/>
          <w:spacing w:val="-6"/>
          <w:sz w:val="16"/>
        </w:rPr>
        <w:t>time.</w:t>
      </w:r>
    </w:p>
    <w:p>
      <w:pPr>
        <w:spacing w:before="103"/>
        <w:ind w:left="1" w:right="1117" w:firstLine="0"/>
        <w:jc w:val="center"/>
        <w:rPr>
          <w:sz w:val="16"/>
        </w:rPr>
      </w:pPr>
      <w:r>
        <w:rPr/>
        <w:br w:type="column"/>
      </w:r>
      <w:hyperlink r:id="rId9">
        <w:r>
          <w:rPr>
            <w:color w:val="FFFFFF"/>
            <w:sz w:val="16"/>
          </w:rPr>
          <w:t>San</w:t>
        </w:r>
        <w:r>
          <w:rPr>
            <w:color w:val="FFFFFF"/>
            <w:spacing w:val="2"/>
            <w:sz w:val="16"/>
          </w:rPr>
          <w:t> </w:t>
        </w:r>
        <w:r>
          <w:rPr>
            <w:color w:val="FFFFFF"/>
            <w:spacing w:val="-2"/>
            <w:sz w:val="16"/>
          </w:rPr>
          <w:t>Diego</w:t>
        </w:r>
      </w:hyperlink>
    </w:p>
    <w:p>
      <w:pPr>
        <w:spacing w:before="54"/>
        <w:ind w:left="1" w:right="1117" w:firstLine="0"/>
        <w:jc w:val="center"/>
        <w:rPr>
          <w:sz w:val="17"/>
        </w:rPr>
      </w:pPr>
      <w:r>
        <w:rPr>
          <w:color w:val="FFFFFF"/>
          <w:sz w:val="17"/>
        </w:rPr>
        <w:t>P: </w:t>
      </w:r>
      <w:r>
        <w:rPr>
          <w:color w:val="FFFFFF"/>
          <w:spacing w:val="-2"/>
          <w:sz w:val="17"/>
        </w:rPr>
        <w:t>619.595.3275</w:t>
      </w:r>
    </w:p>
    <w:p>
      <w:pPr>
        <w:spacing w:before="119"/>
        <w:ind w:left="0" w:right="1117" w:firstLine="0"/>
        <w:jc w:val="center"/>
        <w:rPr>
          <w:sz w:val="16"/>
        </w:rPr>
      </w:pPr>
      <w:hyperlink r:id="rId10">
        <w:r>
          <w:rPr>
            <w:color w:val="FFFFFF"/>
            <w:spacing w:val="-2"/>
            <w:sz w:val="16"/>
          </w:rPr>
          <w:t>sdavis@fennemorelaw.com</w:t>
        </w:r>
      </w:hyperlink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6"/>
        <w:rPr>
          <w:sz w:val="16"/>
        </w:rPr>
      </w:pPr>
    </w:p>
    <w:p>
      <w:pPr>
        <w:spacing w:before="0"/>
        <w:ind w:left="1652" w:right="0" w:firstLine="0"/>
        <w:jc w:val="left"/>
        <w:rPr>
          <w:sz w:val="145"/>
        </w:rPr>
      </w:pPr>
      <w:r>
        <w:rPr>
          <w:color w:val="FFFFFF"/>
          <w:spacing w:val="-10"/>
          <w:sz w:val="145"/>
        </w:rPr>
        <w:t>”</w:t>
      </w:r>
    </w:p>
    <w:p>
      <w:pPr>
        <w:spacing w:after="0"/>
        <w:jc w:val="left"/>
        <w:rPr>
          <w:sz w:val="145"/>
        </w:rPr>
        <w:sectPr>
          <w:type w:val="continuous"/>
          <w:pgSz w:w="12240" w:h="15840"/>
          <w:pgMar w:top="560" w:bottom="280" w:left="1440" w:right="1440"/>
          <w:cols w:num="3" w:equalWidth="0">
            <w:col w:w="1844" w:space="1562"/>
            <w:col w:w="2448" w:space="39"/>
            <w:col w:w="3467"/>
          </w:cols>
        </w:sectPr>
      </w:pPr>
    </w:p>
    <w:p>
      <w:pPr>
        <w:pStyle w:val="BodyText"/>
        <w:spacing w:before="27"/>
        <w:ind w:left="99"/>
      </w:pPr>
      <w:r>
        <w:rPr>
          <w:color w:val="6E6158"/>
        </w:rPr>
        <w:t>E.</w:t>
      </w:r>
      <w:r>
        <w:rPr>
          <w:color w:val="6E6158"/>
          <w:spacing w:val="10"/>
        </w:rPr>
        <w:t> </w:t>
      </w:r>
      <w:r>
        <w:rPr>
          <w:color w:val="6E6158"/>
        </w:rPr>
        <w:t>Shan</w:t>
      </w:r>
      <w:r>
        <w:rPr>
          <w:color w:val="6E6158"/>
          <w:spacing w:val="11"/>
        </w:rPr>
        <w:t> </w:t>
      </w:r>
      <w:r>
        <w:rPr>
          <w:color w:val="6E6158"/>
        </w:rPr>
        <w:t>Davis</w:t>
      </w:r>
      <w:r>
        <w:rPr>
          <w:color w:val="6E6158"/>
          <w:spacing w:val="11"/>
        </w:rPr>
        <w:t> </w:t>
      </w:r>
      <w:r>
        <w:rPr>
          <w:color w:val="6E6158"/>
        </w:rPr>
        <w:t>is</w:t>
      </w:r>
      <w:r>
        <w:rPr>
          <w:color w:val="6E6158"/>
          <w:spacing w:val="11"/>
        </w:rPr>
        <w:t> </w:t>
      </w:r>
      <w:r>
        <w:rPr>
          <w:color w:val="6E6158"/>
        </w:rPr>
        <w:t>a</w:t>
      </w:r>
      <w:r>
        <w:rPr>
          <w:color w:val="6E6158"/>
          <w:spacing w:val="11"/>
        </w:rPr>
        <w:t> </w:t>
      </w:r>
      <w:r>
        <w:rPr>
          <w:color w:val="6E6158"/>
        </w:rPr>
        <w:t>business</w:t>
      </w:r>
      <w:r>
        <w:rPr>
          <w:color w:val="6E6158"/>
          <w:spacing w:val="11"/>
        </w:rPr>
        <w:t> </w:t>
      </w:r>
      <w:r>
        <w:rPr>
          <w:color w:val="6E6158"/>
        </w:rPr>
        <w:t>litigation</w:t>
      </w:r>
      <w:r>
        <w:rPr>
          <w:color w:val="6E6158"/>
          <w:spacing w:val="11"/>
        </w:rPr>
        <w:t> </w:t>
      </w:r>
      <w:r>
        <w:rPr>
          <w:color w:val="6E6158"/>
        </w:rPr>
        <w:t>paralegal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Fennemore’s</w:t>
      </w:r>
      <w:r>
        <w:rPr>
          <w:color w:val="6E6158"/>
          <w:spacing w:val="11"/>
        </w:rPr>
        <w:t> </w:t>
      </w:r>
      <w:r>
        <w:rPr>
          <w:color w:val="6E6158"/>
        </w:rPr>
        <w:t>San</w:t>
      </w:r>
      <w:r>
        <w:rPr>
          <w:color w:val="6E6158"/>
          <w:spacing w:val="11"/>
        </w:rPr>
        <w:t> </w:t>
      </w:r>
      <w:r>
        <w:rPr>
          <w:color w:val="6E6158"/>
        </w:rPr>
        <w:t>Diego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office.</w:t>
      </w:r>
    </w:p>
    <w:p>
      <w:pPr>
        <w:pStyle w:val="BodyText"/>
        <w:spacing w:before="22"/>
      </w:pPr>
    </w:p>
    <w:p>
      <w:pPr>
        <w:pStyle w:val="BodyText"/>
        <w:spacing w:line="292" w:lineRule="auto"/>
        <w:ind w:left="99"/>
      </w:pPr>
      <w:r>
        <w:rPr>
          <w:color w:val="6E6158"/>
        </w:rPr>
        <w:t>With over 19 years of experience in Nevada state and federal courts, she has supervised support</w:t>
      </w:r>
      <w:r>
        <w:rPr>
          <w:color w:val="6E6158"/>
          <w:spacing w:val="40"/>
        </w:rPr>
        <w:t> </w:t>
      </w:r>
      <w:r>
        <w:rPr>
          <w:color w:val="6E6158"/>
        </w:rPr>
        <w:t>staff,</w:t>
      </w:r>
      <w:r>
        <w:rPr>
          <w:color w:val="6E6158"/>
          <w:spacing w:val="35"/>
        </w:rPr>
        <w:t> </w:t>
      </w:r>
      <w:r>
        <w:rPr>
          <w:color w:val="6E6158"/>
        </w:rPr>
        <w:t>drafted</w:t>
      </w:r>
      <w:r>
        <w:rPr>
          <w:color w:val="6E6158"/>
          <w:spacing w:val="35"/>
        </w:rPr>
        <w:t> </w:t>
      </w:r>
      <w:r>
        <w:rPr>
          <w:color w:val="6E6158"/>
        </w:rPr>
        <w:t>subpoenas,</w:t>
      </w:r>
      <w:r>
        <w:rPr>
          <w:color w:val="6E6158"/>
          <w:spacing w:val="35"/>
        </w:rPr>
        <w:t> </w:t>
      </w:r>
      <w:r>
        <w:rPr>
          <w:color w:val="6E6158"/>
        </w:rPr>
        <w:t>deposition</w:t>
      </w:r>
      <w:r>
        <w:rPr>
          <w:color w:val="6E6158"/>
          <w:spacing w:val="35"/>
        </w:rPr>
        <w:t> </w:t>
      </w:r>
      <w:r>
        <w:rPr>
          <w:color w:val="6E6158"/>
        </w:rPr>
        <w:t>notices,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written</w:t>
      </w:r>
      <w:r>
        <w:rPr>
          <w:color w:val="6E6158"/>
          <w:spacing w:val="35"/>
        </w:rPr>
        <w:t> </w:t>
      </w:r>
      <w:r>
        <w:rPr>
          <w:color w:val="6E6158"/>
        </w:rPr>
        <w:t>discovery.</w:t>
      </w:r>
      <w:r>
        <w:rPr>
          <w:color w:val="6E6158"/>
          <w:spacing w:val="35"/>
        </w:rPr>
        <w:t> </w:t>
      </w:r>
      <w:r>
        <w:rPr>
          <w:color w:val="6E6158"/>
        </w:rPr>
        <w:t>She</w:t>
      </w:r>
      <w:r>
        <w:rPr>
          <w:color w:val="6E6158"/>
          <w:spacing w:val="35"/>
        </w:rPr>
        <w:t> </w:t>
      </w:r>
      <w:r>
        <w:rPr>
          <w:color w:val="6E6158"/>
        </w:rPr>
        <w:t>has</w:t>
      </w:r>
      <w:r>
        <w:rPr>
          <w:color w:val="6E6158"/>
          <w:spacing w:val="35"/>
        </w:rPr>
        <w:t> </w:t>
      </w:r>
      <w:r>
        <w:rPr>
          <w:color w:val="6E6158"/>
        </w:rPr>
        <w:t>handled</w:t>
      </w:r>
      <w:r>
        <w:rPr>
          <w:color w:val="6E6158"/>
          <w:spacing w:val="35"/>
        </w:rPr>
        <w:t> </w:t>
      </w:r>
      <w:r>
        <w:rPr>
          <w:color w:val="6E6158"/>
        </w:rPr>
        <w:t>ERISA</w:t>
      </w:r>
    </w:p>
    <w:p>
      <w:pPr>
        <w:pStyle w:val="BodyText"/>
        <w:spacing w:line="295" w:lineRule="auto" w:before="1"/>
        <w:ind w:left="99" w:right="284"/>
      </w:pPr>
      <w:r>
        <w:rPr>
          <w:color w:val="6E6158"/>
        </w:rPr>
        <w:t>litigation, prepared pleadings and discovery, managed litigation calendars, and handled</w:t>
      </w:r>
      <w:r>
        <w:rPr>
          <w:color w:val="6E6158"/>
          <w:spacing w:val="40"/>
        </w:rPr>
        <w:t> </w:t>
      </w:r>
      <w:r>
        <w:rPr>
          <w:color w:val="6E6158"/>
        </w:rPr>
        <w:t>subrogation and third-party recovery claims by reviewing medical records and preparing</w:t>
      </w:r>
      <w:r>
        <w:rPr>
          <w:color w:val="6E6158"/>
          <w:spacing w:val="40"/>
        </w:rPr>
        <w:t> </w:t>
      </w:r>
      <w:r>
        <w:rPr>
          <w:color w:val="6E6158"/>
        </w:rPr>
        <w:t>demand letters. Shan has also worked on complex civil cases including personal injury, </w:t>
      </w:r>
      <w:r>
        <w:rPr>
          <w:color w:val="6E6158"/>
        </w:rPr>
        <w:t>product</w:t>
      </w:r>
      <w:r>
        <w:rPr>
          <w:color w:val="6E6158"/>
          <w:spacing w:val="40"/>
        </w:rPr>
        <w:t> </w:t>
      </w:r>
      <w:r>
        <w:rPr>
          <w:color w:val="6E6158"/>
        </w:rPr>
        <w:t>liability,</w:t>
      </w:r>
      <w:r>
        <w:rPr>
          <w:color w:val="6E6158"/>
          <w:spacing w:val="40"/>
        </w:rPr>
        <w:t> </w:t>
      </w:r>
      <w:r>
        <w:rPr>
          <w:color w:val="6E6158"/>
        </w:rPr>
        <w:t>medical</w:t>
      </w:r>
      <w:r>
        <w:rPr>
          <w:color w:val="6E6158"/>
          <w:spacing w:val="40"/>
        </w:rPr>
        <w:t> </w:t>
      </w:r>
      <w:r>
        <w:rPr>
          <w:color w:val="6E6158"/>
        </w:rPr>
        <w:t>malpractice,</w:t>
      </w:r>
      <w:r>
        <w:rPr>
          <w:color w:val="6E6158"/>
          <w:spacing w:val="40"/>
        </w:rPr>
        <w:t> </w:t>
      </w:r>
      <w:r>
        <w:rPr>
          <w:color w:val="6E6158"/>
        </w:rPr>
        <w:t>wrongful</w:t>
      </w:r>
      <w:r>
        <w:rPr>
          <w:color w:val="6E6158"/>
          <w:spacing w:val="40"/>
        </w:rPr>
        <w:t> </w:t>
      </w:r>
      <w:r>
        <w:rPr>
          <w:color w:val="6E6158"/>
        </w:rPr>
        <w:t>death,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minor</w:t>
      </w:r>
      <w:r>
        <w:rPr>
          <w:color w:val="6E6158"/>
          <w:spacing w:val="40"/>
        </w:rPr>
        <w:t> </w:t>
      </w:r>
      <w:r>
        <w:rPr>
          <w:color w:val="6E6158"/>
        </w:rPr>
        <w:t>compromise</w:t>
      </w:r>
      <w:r>
        <w:rPr>
          <w:color w:val="6E6158"/>
          <w:spacing w:val="40"/>
        </w:rPr>
        <w:t> </w:t>
      </w:r>
      <w:r>
        <w:rPr>
          <w:color w:val="6E6158"/>
        </w:rPr>
        <w:t>proceedings.</w:t>
      </w:r>
    </w:p>
    <w:p>
      <w:pPr>
        <w:pStyle w:val="BodyText"/>
        <w:spacing w:line="302" w:lineRule="auto" w:before="197"/>
        <w:ind w:left="99" w:right="80"/>
      </w:pPr>
      <w:r>
        <w:rPr>
          <w:color w:val="6E6158"/>
        </w:rPr>
        <w:t>Shan has owned a loan signing company, assisting homeowners during the loan closing </w:t>
      </w:r>
      <w:r>
        <w:rPr>
          <w:color w:val="6E6158"/>
        </w:rPr>
        <w:t>process.</w:t>
      </w:r>
      <w:r>
        <w:rPr>
          <w:color w:val="6E6158"/>
          <w:spacing w:val="40"/>
        </w:rPr>
        <w:t> </w:t>
      </w:r>
      <w:r>
        <w:rPr>
          <w:color w:val="6E6158"/>
        </w:rPr>
        <w:t>She</w:t>
      </w:r>
      <w:r>
        <w:rPr>
          <w:color w:val="6E6158"/>
          <w:spacing w:val="26"/>
        </w:rPr>
        <w:t> </w:t>
      </w:r>
      <w:r>
        <w:rPr>
          <w:color w:val="6E6158"/>
        </w:rPr>
        <w:t>holds</w:t>
      </w:r>
      <w:r>
        <w:rPr>
          <w:color w:val="6E6158"/>
          <w:spacing w:val="26"/>
        </w:rPr>
        <w:t> </w:t>
      </w:r>
      <w:r>
        <w:rPr>
          <w:color w:val="6E6158"/>
        </w:rPr>
        <w:t>a</w:t>
      </w:r>
      <w:r>
        <w:rPr>
          <w:color w:val="6E6158"/>
          <w:spacing w:val="26"/>
        </w:rPr>
        <w:t> </w:t>
      </w:r>
      <w:r>
        <w:rPr>
          <w:color w:val="6E6158"/>
        </w:rPr>
        <w:t>Master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Dispute</w:t>
      </w:r>
      <w:r>
        <w:rPr>
          <w:color w:val="6E6158"/>
          <w:spacing w:val="26"/>
        </w:rPr>
        <w:t> </w:t>
      </w:r>
      <w:r>
        <w:rPr>
          <w:color w:val="6E6158"/>
        </w:rPr>
        <w:t>Resolution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a</w:t>
      </w:r>
      <w:r>
        <w:rPr>
          <w:color w:val="6E6158"/>
          <w:spacing w:val="26"/>
        </w:rPr>
        <w:t> </w:t>
      </w:r>
      <w:r>
        <w:rPr>
          <w:color w:val="6E6158"/>
        </w:rPr>
        <w:t>Master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Legal</w:t>
      </w:r>
      <w:r>
        <w:rPr>
          <w:color w:val="6E6158"/>
          <w:spacing w:val="26"/>
        </w:rPr>
        <w:t> </w:t>
      </w:r>
      <w:r>
        <w:rPr>
          <w:color w:val="6E6158"/>
        </w:rPr>
        <w:t>Studies</w:t>
      </w:r>
      <w:r>
        <w:rPr>
          <w:color w:val="6E6158"/>
          <w:spacing w:val="26"/>
        </w:rPr>
        <w:t> </w:t>
      </w:r>
      <w:r>
        <w:rPr>
          <w:color w:val="6E6158"/>
        </w:rPr>
        <w:t>from</w:t>
      </w:r>
      <w:r>
        <w:rPr>
          <w:color w:val="6E6158"/>
          <w:spacing w:val="26"/>
        </w:rPr>
        <w:t> </w:t>
      </w:r>
      <w:r>
        <w:rPr>
          <w:color w:val="6E6158"/>
        </w:rPr>
        <w:t>Pepperdine</w:t>
      </w:r>
    </w:p>
    <w:p>
      <w:pPr>
        <w:pStyle w:val="BodyText"/>
        <w:spacing w:line="494" w:lineRule="auto"/>
        <w:ind w:left="99" w:right="2449"/>
      </w:pPr>
      <w:r>
        <w:rPr>
          <w:color w:val="6E6158"/>
        </w:rPr>
        <w:t>University, Caruso School of Law, and is a commissioned Nevada </w:t>
      </w:r>
      <w:r>
        <w:rPr>
          <w:color w:val="6E6158"/>
        </w:rPr>
        <w:t>notary.</w:t>
      </w:r>
      <w:r>
        <w:rPr>
          <w:color w:val="6E6158"/>
          <w:spacing w:val="40"/>
        </w:rPr>
        <w:t> </w:t>
      </w:r>
      <w:r>
        <w:rPr>
          <w:color w:val="6E6158"/>
        </w:rPr>
        <w:t>In her spare time, Shan enjoys concerts, dancing, and reading.</w:t>
      </w:r>
    </w:p>
    <w:p>
      <w:pPr>
        <w:pStyle w:val="Heading1"/>
        <w:spacing w:line="261" w:lineRule="exact"/>
      </w:pPr>
      <w:r>
        <w:rPr>
          <w:color w:val="FF8100"/>
          <w:spacing w:val="-2"/>
        </w:rPr>
        <w:t>EDUCATION</w:t>
      </w:r>
    </w:p>
    <w:p>
      <w:pPr>
        <w:pStyle w:val="BodyText"/>
        <w:spacing w:before="26"/>
        <w:rPr>
          <w:b/>
        </w:rPr>
      </w:pPr>
    </w:p>
    <w:p>
      <w:pPr>
        <w:pStyle w:val="BodyText"/>
        <w:spacing w:line="408" w:lineRule="auto"/>
        <w:ind w:left="99" w:right="3551"/>
        <w:rPr>
          <w:i/>
          <w:sz w:val="20"/>
        </w:rPr>
      </w:pPr>
      <w:r>
        <w:rPr>
          <w:color w:val="6E6158"/>
        </w:rPr>
        <w:t>M.L.S./M.D.R., Pepperdine University, Caruso School of </w:t>
      </w:r>
      <w:r>
        <w:rPr>
          <w:color w:val="6E6158"/>
        </w:rPr>
        <w:t>Law</w:t>
      </w:r>
      <w:r>
        <w:rPr>
          <w:color w:val="6E6158"/>
        </w:rPr>
        <w:t> B.S., Tennessee State University, </w:t>
      </w:r>
      <w:r>
        <w:rPr>
          <w:i/>
          <w:color w:val="6E6158"/>
          <w:sz w:val="20"/>
        </w:rPr>
        <w:t>cum laude</w:t>
      </w:r>
    </w:p>
    <w:p>
      <w:pPr>
        <w:pStyle w:val="Heading1"/>
        <w:spacing w:before="284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  <w:ind w:left="99"/>
      </w:pPr>
      <w:r>
        <w:rPr>
          <w:color w:val="6E6158"/>
        </w:rPr>
        <w:t>Member,</w:t>
      </w:r>
      <w:r>
        <w:rPr>
          <w:color w:val="6E6158"/>
          <w:spacing w:val="9"/>
        </w:rPr>
        <w:t> </w:t>
      </w:r>
      <w:r>
        <w:rPr>
          <w:color w:val="6E6158"/>
        </w:rPr>
        <w:t>Nevada</w:t>
      </w:r>
      <w:r>
        <w:rPr>
          <w:color w:val="6E6158"/>
          <w:spacing w:val="10"/>
        </w:rPr>
        <w:t> </w:t>
      </w:r>
      <w:r>
        <w:rPr>
          <w:color w:val="6E6158"/>
        </w:rPr>
        <w:t>State</w:t>
      </w:r>
      <w:r>
        <w:rPr>
          <w:color w:val="6E6158"/>
          <w:spacing w:val="10"/>
        </w:rPr>
        <w:t> </w:t>
      </w:r>
      <w:r>
        <w:rPr>
          <w:color w:val="6E6158"/>
        </w:rPr>
        <w:t>Bar</w:t>
      </w:r>
      <w:r>
        <w:rPr>
          <w:color w:val="6E6158"/>
          <w:spacing w:val="10"/>
        </w:rPr>
        <w:t> </w:t>
      </w:r>
      <w:r>
        <w:rPr>
          <w:color w:val="6E6158"/>
        </w:rPr>
        <w:t>Paralegal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5"/>
        <w:rPr>
          <w:b/>
          <w:sz w:val="20"/>
        </w:rPr>
      </w:pPr>
    </w:p>
    <w:p>
      <w:pPr>
        <w:spacing w:before="1"/>
        <w:ind w:left="99" w:right="0" w:firstLine="0"/>
        <w:jc w:val="left"/>
        <w:rPr>
          <w:i/>
          <w:sz w:val="20"/>
        </w:rPr>
      </w:pPr>
      <w:r>
        <w:rPr>
          <w:i/>
          <w:color w:val="6E6158"/>
          <w:spacing w:val="-2"/>
          <w:sz w:val="20"/>
        </w:rPr>
        <w:t>*Not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licensed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to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the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practice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of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5"/>
          <w:sz w:val="20"/>
        </w:rPr>
        <w:t>law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san-diego/" TargetMode="External"/><Relationship Id="rId10" Type="http://schemas.openxmlformats.org/officeDocument/2006/relationships/hyperlink" Target="mailto:sdavis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E. Shan Davis - Fennemore</dc:title>
  <dcterms:created xsi:type="dcterms:W3CDTF">2026-08-11T14:14:31Z</dcterms:created>
  <dcterms:modified xsi:type="dcterms:W3CDTF">2026-08-11T14:14:31Z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2026-08-11T00:00:00Z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2026-08-11T00:00:00Z</vt:filetime>
  </property>
  <property fmtid="{D5CDD505-2E9C-101B-9397-08002B2CF9AE}" pid="6" name="Producer">
    <vt:lpwstr>Skia/PDF m150</vt:lpwstr>
  </property>
</Properties>
</file>