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36"/>
        <w:rPr>
          <w:rFonts w:ascii="Times New Roman"/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-3706182</wp:posOffset>
                </wp:positionV>
                <wp:extent cx="6071870" cy="36379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637915"/>
                          <a:chExt cx="6071870" cy="36379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Enrique Schaerer9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33690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3369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3369310">
                                <a:moveTo>
                                  <a:pt x="3033212" y="3369087"/>
                                </a:moveTo>
                                <a:lnTo>
                                  <a:pt x="0" y="336908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3369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931113" y="763308"/>
                            <a:ext cx="1257935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hanging="1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ENRIQUE SCHAERER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Counsel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305339" y="2133494"/>
                            <a:ext cx="50990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Las</w:t>
                                </w:r>
                                <w:r>
                                  <w:rPr>
                                    <w:color w:val="FFFFFF"/>
                                    <w:spacing w:val="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Vegas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702.692.8013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702.692.8099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423380" y="2603719"/>
                            <a:ext cx="27368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4"/>
                                    <w:sz w:val="16"/>
                                  </w:rPr>
                                  <w:t>Reno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582320" y="2763876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702.692.8013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750778" y="2763876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702.692.8099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760673" y="2975766"/>
                            <a:ext cx="159893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1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eschaerer@fennemorelaw.com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91.825378pt;width:478.1pt;height:286.45pt;mso-position-horizontal-relative:page;mso-position-vertical-relative:paragraph;z-index:15728640" id="docshapegroup1" coordorigin="1336,-5837" coordsize="9562,5729">
                <v:shape style="position:absolute;left:1336;top:-5837;width:2165;height:424" type="#_x0000_t75" id="docshape2" alt="Fennemore" href="https://www.fennemorelaw.com/" stroked="false">
                  <v:imagedata r:id="rId5" o:title=""/>
                </v:shape>
                <v:shape style="position:absolute;left:1336;top:-5414;width:4785;height:5306" type="#_x0000_t75" id="docshape3" alt="Enrique Schaerer92" stroked="false">
                  <v:imagedata r:id="rId7" o:title=""/>
                </v:shape>
                <v:rect style="position:absolute;left:6121;top:-5414;width:4777;height:5306" id="docshape4" filled="true" fillcolor="#262424" stroked="false">
                  <v:fill type="solid"/>
                </v:rect>
                <v:shape style="position:absolute;left:6837;top:-3249;width:3337;height:505" id="docshape5" coordorigin="6837,-3249" coordsize="3337,505" path="m10174,-2752l6837,-2752,6837,-2744,10174,-2744,10174,-2752xm10174,-3249l6837,-3249,6837,-3241,10174,-3241,10174,-3249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526;top:-4635;width:1981;height:1731" type="#_x0000_t202" id="docshape6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hanging="1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ENRIQUE SCHAERER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z w:val="24"/>
                          </w:rPr>
                          <w:t>Of</w:t>
                        </w:r>
                        <w:r>
                          <w:rPr>
                            <w:color w:val="FFFFFF"/>
                            <w:spacing w:val="3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Counsel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116;top:-2477;width:803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z w:val="16"/>
                            </w:rPr>
                            <w:t>Las</w:t>
                          </w:r>
                          <w:r>
                            <w:rPr>
                              <w:color w:val="FFFFFF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Vegas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2225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702.692.8013</w:t>
                        </w:r>
                      </w:p>
                    </w:txbxContent>
                  </v:textbox>
                  <w10:wrap type="none"/>
                </v:shape>
                <v:shape style="position:absolute;left:8817;top:-2225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702.692.8099</w:t>
                        </w:r>
                      </w:p>
                    </w:txbxContent>
                  </v:textbox>
                  <w10:wrap type="none"/>
                </v:shape>
                <v:shape style="position:absolute;left:8302;top:-1737;width:431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4"/>
                              <w:sz w:val="16"/>
                            </w:rPr>
                            <w:t>Reno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1484;width:1258;height:210" type="#_x0000_t202" id="docshape11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702.692.8013</w:t>
                        </w:r>
                      </w:p>
                    </w:txbxContent>
                  </v:textbox>
                  <w10:wrap type="none"/>
                </v:shape>
                <v:shape style="position:absolute;left:8817;top:-1484;width:1240;height:210" type="#_x0000_t202" id="docshape12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702.692.8099</w:t>
                        </w:r>
                      </w:p>
                    </w:txbxContent>
                  </v:textbox>
                  <w10:wrap type="none"/>
                </v:shape>
                <v:shape style="position:absolute;left:7258;top:-1151;width:2518;height:200" type="#_x0000_t202" id="docshape13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1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eschaerer@fennemorelaw.com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ENRIQUE</w:t>
      </w:r>
      <w:r>
        <w:rPr>
          <w:color w:val="FF8100"/>
          <w:spacing w:val="10"/>
        </w:rPr>
        <w:t> </w:t>
      </w:r>
      <w:r>
        <w:rPr>
          <w:color w:val="FF8100"/>
          <w:spacing w:val="-2"/>
        </w:rPr>
        <w:t>SCHAERER</w:t>
      </w:r>
    </w:p>
    <w:p>
      <w:pPr>
        <w:pStyle w:val="BodyText"/>
        <w:spacing w:line="295" w:lineRule="auto" w:before="147"/>
        <w:ind w:left="99" w:right="427"/>
      </w:pPr>
      <w:r>
        <w:rPr>
          <w:color w:val="6E6158"/>
        </w:rPr>
        <w:t>Enrique Schaerer is an Of Counsel attorney in Fennemore’s Business Litigation and Estate</w:t>
      </w:r>
      <w:r>
        <w:rPr>
          <w:color w:val="6E6158"/>
          <w:spacing w:val="40"/>
        </w:rPr>
        <w:t> </w:t>
      </w:r>
      <w:r>
        <w:rPr>
          <w:color w:val="6E6158"/>
        </w:rPr>
        <w:t>Litigation practice groups. He represents businesses, executives, fiduciaries, and individuals in</w:t>
      </w:r>
      <w:r>
        <w:rPr>
          <w:color w:val="6E6158"/>
          <w:spacing w:val="40"/>
        </w:rPr>
        <w:t> </w:t>
      </w:r>
      <w:r>
        <w:rPr>
          <w:color w:val="6E6158"/>
        </w:rPr>
        <w:t>complex commercial disputes, contract litigation, trust and estate controversies, </w:t>
      </w:r>
      <w:r>
        <w:rPr>
          <w:color w:val="6E6158"/>
        </w:rPr>
        <w:t>employment</w:t>
      </w:r>
      <w:r>
        <w:rPr>
          <w:color w:val="6E6158"/>
          <w:spacing w:val="40"/>
        </w:rPr>
        <w:t> </w:t>
      </w:r>
      <w:r>
        <w:rPr>
          <w:color w:val="6E6158"/>
        </w:rPr>
        <w:t>matters, criminal defense, and government investigations. Enrique has represented clients in</w:t>
      </w:r>
      <w:r>
        <w:rPr>
          <w:color w:val="6E6158"/>
          <w:spacing w:val="40"/>
        </w:rPr>
        <w:t> </w:t>
      </w:r>
      <w:r>
        <w:rPr>
          <w:color w:val="6E6158"/>
        </w:rPr>
        <w:t>high-stakes</w:t>
      </w:r>
      <w:r>
        <w:rPr>
          <w:color w:val="6E6158"/>
          <w:spacing w:val="34"/>
        </w:rPr>
        <w:t> </w:t>
      </w:r>
      <w:r>
        <w:rPr>
          <w:color w:val="6E6158"/>
        </w:rPr>
        <w:t>litigation</w:t>
      </w:r>
      <w:r>
        <w:rPr>
          <w:color w:val="6E6158"/>
          <w:spacing w:val="34"/>
        </w:rPr>
        <w:t> </w:t>
      </w:r>
      <w:r>
        <w:rPr>
          <w:color w:val="6E6158"/>
        </w:rPr>
        <w:t>in</w:t>
      </w:r>
      <w:r>
        <w:rPr>
          <w:color w:val="6E6158"/>
          <w:spacing w:val="34"/>
        </w:rPr>
        <w:t> </w:t>
      </w:r>
      <w:r>
        <w:rPr>
          <w:color w:val="6E6158"/>
        </w:rPr>
        <w:t>state</w:t>
      </w:r>
      <w:r>
        <w:rPr>
          <w:color w:val="6E6158"/>
          <w:spacing w:val="34"/>
        </w:rPr>
        <w:t> </w:t>
      </w:r>
      <w:r>
        <w:rPr>
          <w:color w:val="6E6158"/>
        </w:rPr>
        <w:t>and</w:t>
      </w:r>
      <w:r>
        <w:rPr>
          <w:color w:val="6E6158"/>
          <w:spacing w:val="34"/>
        </w:rPr>
        <w:t> </w:t>
      </w:r>
      <w:r>
        <w:rPr>
          <w:color w:val="6E6158"/>
        </w:rPr>
        <w:t>federal</w:t>
      </w:r>
      <w:r>
        <w:rPr>
          <w:color w:val="6E6158"/>
          <w:spacing w:val="34"/>
        </w:rPr>
        <w:t> </w:t>
      </w:r>
      <w:r>
        <w:rPr>
          <w:color w:val="6E6158"/>
        </w:rPr>
        <w:t>courts</w:t>
      </w:r>
      <w:r>
        <w:rPr>
          <w:color w:val="6E6158"/>
          <w:spacing w:val="34"/>
        </w:rPr>
        <w:t> </w:t>
      </w:r>
      <w:r>
        <w:rPr>
          <w:color w:val="6E6158"/>
        </w:rPr>
        <w:t>across</w:t>
      </w:r>
      <w:r>
        <w:rPr>
          <w:color w:val="6E6158"/>
          <w:spacing w:val="34"/>
        </w:rPr>
        <w:t> </w:t>
      </w:r>
      <w:r>
        <w:rPr>
          <w:color w:val="6E6158"/>
        </w:rPr>
        <w:t>Nevada,</w:t>
      </w:r>
      <w:r>
        <w:rPr>
          <w:color w:val="6E6158"/>
          <w:spacing w:val="34"/>
        </w:rPr>
        <w:t> </w:t>
      </w:r>
      <w:r>
        <w:rPr>
          <w:color w:val="6E6158"/>
        </w:rPr>
        <w:t>Arizona,</w:t>
      </w:r>
      <w:r>
        <w:rPr>
          <w:color w:val="6E6158"/>
          <w:spacing w:val="34"/>
        </w:rPr>
        <w:t> </w:t>
      </w:r>
      <w:r>
        <w:rPr>
          <w:color w:val="6E6158"/>
        </w:rPr>
        <w:t>and</w:t>
      </w:r>
      <w:r>
        <w:rPr>
          <w:color w:val="6E6158"/>
          <w:spacing w:val="34"/>
        </w:rPr>
        <w:t> </w:t>
      </w:r>
      <w:r>
        <w:rPr>
          <w:color w:val="6E6158"/>
        </w:rPr>
        <w:t>California.</w:t>
      </w:r>
    </w:p>
    <w:p>
      <w:pPr>
        <w:pStyle w:val="BodyText"/>
        <w:spacing w:line="295" w:lineRule="auto" w:before="195"/>
        <w:ind w:left="99"/>
      </w:pPr>
      <w:r>
        <w:rPr>
          <w:color w:val="6E6158"/>
        </w:rPr>
        <w:t>An experienced trial lawyer and appellate advocate, Enrique approaches every matter with a</w:t>
      </w:r>
      <w:r>
        <w:rPr>
          <w:color w:val="6E6158"/>
          <w:spacing w:val="40"/>
        </w:rPr>
        <w:t> </w:t>
      </w:r>
      <w:r>
        <w:rPr>
          <w:color w:val="6E6158"/>
        </w:rPr>
        <w:t>comprehensive litigation strategy tailored to each client’s objectives. He believes that </w:t>
      </w:r>
      <w:r>
        <w:rPr>
          <w:color w:val="6E6158"/>
        </w:rPr>
        <w:t>thoughtful</w:t>
      </w:r>
      <w:r>
        <w:rPr>
          <w:color w:val="6E6158"/>
          <w:spacing w:val="40"/>
        </w:rPr>
        <w:t> </w:t>
      </w:r>
      <w:r>
        <w:rPr>
          <w:color w:val="6E6158"/>
        </w:rPr>
        <w:t>planning at the earliest stages of a dispute can position clients for stronger outcomes, whether</w:t>
      </w:r>
      <w:r>
        <w:rPr>
          <w:color w:val="6E6158"/>
          <w:spacing w:val="40"/>
        </w:rPr>
        <w:t> </w:t>
      </w:r>
      <w:r>
        <w:rPr>
          <w:color w:val="6E6158"/>
        </w:rPr>
        <w:t>through negotiation, motion practice, trial, or appeal.</w:t>
      </w:r>
    </w:p>
    <w:p>
      <w:pPr>
        <w:pStyle w:val="BodyText"/>
        <w:spacing w:line="295" w:lineRule="auto" w:before="197"/>
        <w:ind w:left="99" w:right="227"/>
      </w:pPr>
      <w:r>
        <w:rPr>
          <w:color w:val="6E6158"/>
        </w:rPr>
        <w:t>Before joining private practice, Enrique served as a Deputy District Attorney, where he</w:t>
      </w:r>
      <w:r>
        <w:rPr>
          <w:color w:val="6E6158"/>
          <w:spacing w:val="80"/>
        </w:rPr>
        <w:t> </w:t>
      </w:r>
      <w:r>
        <w:rPr>
          <w:color w:val="6E6158"/>
        </w:rPr>
        <w:t>prosecuted misdemeanor and felony cases, tried dozens of criminal matters before judges and</w:t>
      </w:r>
      <w:r>
        <w:rPr>
          <w:color w:val="6E6158"/>
          <w:spacing w:val="40"/>
        </w:rPr>
        <w:t> </w:t>
      </w:r>
      <w:r>
        <w:rPr>
          <w:color w:val="6E6158"/>
        </w:rPr>
        <w:t>juries, and worked closely with law enforcement on investigations. His courtroom experience in</w:t>
      </w:r>
      <w:r>
        <w:rPr>
          <w:color w:val="6E6158"/>
          <w:spacing w:val="40"/>
        </w:rPr>
        <w:t> </w:t>
      </w:r>
      <w:r>
        <w:rPr>
          <w:color w:val="6E6158"/>
        </w:rPr>
        <w:t>motion practice and trial, combined with his appellate practice, enable him to guide clients</w:t>
      </w:r>
      <w:r>
        <w:rPr>
          <w:color w:val="6E6158"/>
          <w:spacing w:val="40"/>
        </w:rPr>
        <w:t> </w:t>
      </w:r>
      <w:r>
        <w:rPr>
          <w:color w:val="6E6158"/>
        </w:rPr>
        <w:t>through</w:t>
      </w:r>
      <w:r>
        <w:rPr>
          <w:color w:val="6E6158"/>
          <w:spacing w:val="14"/>
        </w:rPr>
        <w:t> </w:t>
      </w:r>
      <w:r>
        <w:rPr>
          <w:color w:val="6E6158"/>
        </w:rPr>
        <w:t>every</w:t>
      </w:r>
      <w:r>
        <w:rPr>
          <w:color w:val="6E6158"/>
          <w:spacing w:val="14"/>
        </w:rPr>
        <w:t> </w:t>
      </w:r>
      <w:r>
        <w:rPr>
          <w:color w:val="6E6158"/>
        </w:rPr>
        <w:t>phase</w:t>
      </w:r>
      <w:r>
        <w:rPr>
          <w:color w:val="6E6158"/>
          <w:spacing w:val="14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</w:rPr>
        <w:t>complex</w:t>
      </w:r>
      <w:r>
        <w:rPr>
          <w:color w:val="6E6158"/>
          <w:spacing w:val="14"/>
        </w:rPr>
        <w:t> </w:t>
      </w:r>
      <w:r>
        <w:rPr>
          <w:color w:val="6E6158"/>
        </w:rPr>
        <w:t>litigation.</w:t>
      </w:r>
      <w:r>
        <w:rPr>
          <w:color w:val="6E6158"/>
          <w:spacing w:val="14"/>
        </w:rPr>
        <w:t> </w:t>
      </w:r>
      <w:r>
        <w:rPr>
          <w:color w:val="6E6158"/>
        </w:rPr>
        <w:t>He</w:t>
      </w:r>
      <w:r>
        <w:rPr>
          <w:color w:val="6E6158"/>
          <w:spacing w:val="14"/>
        </w:rPr>
        <w:t> </w:t>
      </w:r>
      <w:r>
        <w:rPr>
          <w:color w:val="6E6158"/>
        </w:rPr>
        <w:t>has</w:t>
      </w:r>
      <w:r>
        <w:rPr>
          <w:color w:val="6E6158"/>
          <w:spacing w:val="14"/>
        </w:rPr>
        <w:t> </w:t>
      </w:r>
      <w:r>
        <w:rPr>
          <w:color w:val="6E6158"/>
        </w:rPr>
        <w:t>briefed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argued</w:t>
      </w:r>
      <w:r>
        <w:rPr>
          <w:color w:val="6E6158"/>
          <w:spacing w:val="14"/>
        </w:rPr>
        <w:t> </w:t>
      </w:r>
      <w:r>
        <w:rPr>
          <w:color w:val="6E6158"/>
        </w:rPr>
        <w:t>civil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criminal</w:t>
      </w:r>
      <w:r>
        <w:rPr>
          <w:color w:val="6E6158"/>
          <w:spacing w:val="14"/>
        </w:rPr>
        <w:t> </w:t>
      </w:r>
      <w:r>
        <w:rPr>
          <w:color w:val="6E6158"/>
        </w:rPr>
        <w:t>matters</w:t>
      </w:r>
    </w:p>
    <w:p>
      <w:pPr>
        <w:pStyle w:val="BodyText"/>
        <w:spacing w:line="292" w:lineRule="auto" w:before="7"/>
        <w:ind w:left="99"/>
      </w:pPr>
      <w:r>
        <w:rPr>
          <w:color w:val="6E6158"/>
        </w:rPr>
        <w:t>before numerous courts, including the U.S. Supreme Court, the U.S. Court of Appeals for the Ninth</w:t>
      </w:r>
      <w:r>
        <w:rPr>
          <w:color w:val="6E6158"/>
          <w:spacing w:val="40"/>
        </w:rPr>
        <w:t> </w:t>
      </w:r>
      <w:r>
        <w:rPr>
          <w:color w:val="6E6158"/>
        </w:rPr>
        <w:t>Circuit, and the Nevada Supreme Court.</w:t>
      </w:r>
    </w:p>
    <w:p>
      <w:pPr>
        <w:pStyle w:val="BodyText"/>
        <w:spacing w:line="292" w:lineRule="auto" w:before="197"/>
        <w:ind w:left="99" w:right="427"/>
      </w:pPr>
      <w:r>
        <w:rPr>
          <w:color w:val="6E6158"/>
        </w:rPr>
        <w:t>Enrique previously served as a judicial law clerk to the Honorable James V. Selna of the U.S. District</w:t>
      </w:r>
      <w:r>
        <w:rPr>
          <w:color w:val="6E6158"/>
          <w:spacing w:val="11"/>
        </w:rPr>
        <w:t> </w:t>
      </w:r>
      <w:r>
        <w:rPr>
          <w:color w:val="6E6158"/>
        </w:rPr>
        <w:t>Court</w:t>
      </w:r>
      <w:r>
        <w:rPr>
          <w:color w:val="6E6158"/>
          <w:spacing w:val="11"/>
        </w:rPr>
        <w:t> </w:t>
      </w:r>
      <w:r>
        <w:rPr>
          <w:color w:val="6E6158"/>
        </w:rPr>
        <w:t>for</w:t>
      </w:r>
      <w:r>
        <w:rPr>
          <w:color w:val="6E6158"/>
          <w:spacing w:val="11"/>
        </w:rPr>
        <w:t> </w:t>
      </w:r>
      <w:r>
        <w:rPr>
          <w:color w:val="6E6158"/>
        </w:rPr>
        <w:t>the</w:t>
      </w:r>
      <w:r>
        <w:rPr>
          <w:color w:val="6E6158"/>
          <w:spacing w:val="11"/>
        </w:rPr>
        <w:t> </w:t>
      </w:r>
      <w:r>
        <w:rPr>
          <w:color w:val="6E6158"/>
        </w:rPr>
        <w:t>Central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California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</w:rPr>
        <w:t>the</w:t>
      </w:r>
      <w:r>
        <w:rPr>
          <w:color w:val="6E6158"/>
          <w:spacing w:val="11"/>
        </w:rPr>
        <w:t> </w:t>
      </w:r>
      <w:r>
        <w:rPr>
          <w:color w:val="6E6158"/>
        </w:rPr>
        <w:t>Honorable</w:t>
      </w:r>
      <w:r>
        <w:rPr>
          <w:color w:val="6E6158"/>
          <w:spacing w:val="11"/>
        </w:rPr>
        <w:t> </w:t>
      </w:r>
      <w:r>
        <w:rPr>
          <w:color w:val="6E6158"/>
        </w:rPr>
        <w:t>Carlos</w:t>
      </w:r>
      <w:r>
        <w:rPr>
          <w:color w:val="6E6158"/>
          <w:spacing w:val="11"/>
        </w:rPr>
        <w:t> </w:t>
      </w:r>
      <w:r>
        <w:rPr>
          <w:color w:val="6E6158"/>
        </w:rPr>
        <w:t>T.</w:t>
      </w:r>
      <w:r>
        <w:rPr>
          <w:color w:val="6E6158"/>
          <w:spacing w:val="11"/>
        </w:rPr>
        <w:t> </w:t>
      </w:r>
      <w:r>
        <w:rPr>
          <w:color w:val="6E6158"/>
        </w:rPr>
        <w:t>Bea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the</w:t>
      </w:r>
      <w:r>
        <w:rPr>
          <w:color w:val="6E6158"/>
          <w:spacing w:val="11"/>
        </w:rPr>
        <w:t> </w:t>
      </w:r>
      <w:r>
        <w:rPr>
          <w:color w:val="6E6158"/>
        </w:rPr>
        <w:t>U.S.</w:t>
      </w:r>
    </w:p>
    <w:p>
      <w:pPr>
        <w:pStyle w:val="BodyText"/>
        <w:spacing w:line="292" w:lineRule="auto" w:before="9"/>
        <w:ind w:left="99" w:right="227"/>
      </w:pPr>
      <w:r>
        <w:rPr>
          <w:color w:val="6E6158"/>
        </w:rPr>
        <w:t>Court of Appeals for the Ninth Circuit. He earned his J.D. from Yale Law School, where he served</w:t>
      </w:r>
      <w:r>
        <w:rPr>
          <w:color w:val="6E6158"/>
          <w:spacing w:val="80"/>
        </w:rPr>
        <w:t> </w:t>
      </w:r>
      <w:r>
        <w:rPr>
          <w:color w:val="6E6158"/>
        </w:rPr>
        <w:t>on the Yale Law Journal and won the Potter Stewart Prize for best written brief and oral argument</w:t>
      </w:r>
      <w:r>
        <w:rPr>
          <w:color w:val="6E6158"/>
          <w:spacing w:val="80"/>
        </w:rPr>
        <w:t> </w:t>
      </w:r>
      <w:r>
        <w:rPr>
          <w:color w:val="6E6158"/>
        </w:rPr>
        <w:t>in the school-wide moot court competition. He graduated as valedictorian from the University of</w:t>
      </w:r>
      <w:r>
        <w:rPr>
          <w:color w:val="6E6158"/>
          <w:spacing w:val="40"/>
        </w:rPr>
        <w:t> </w:t>
      </w:r>
      <w:r>
        <w:rPr>
          <w:color w:val="6E6158"/>
        </w:rPr>
        <w:t>Notre Dame, earning degrees in finance and political science.</w:t>
      </w:r>
    </w:p>
    <w:p>
      <w:pPr>
        <w:pStyle w:val="BodyText"/>
        <w:spacing w:line="292" w:lineRule="auto" w:before="206"/>
        <w:ind w:left="99" w:right="217"/>
      </w:pPr>
      <w:r>
        <w:rPr>
          <w:color w:val="6E6158"/>
        </w:rPr>
        <w:t>In addition to his litigation practice, Enrique has published scholarly articles on constitutional </w:t>
      </w:r>
      <w:r>
        <w:rPr>
          <w:color w:val="6E6158"/>
        </w:rPr>
        <w:t>law,</w:t>
      </w:r>
      <w:r>
        <w:rPr>
          <w:color w:val="6E6158"/>
          <w:spacing w:val="40"/>
        </w:rPr>
        <w:t> </w:t>
      </w:r>
      <w:r>
        <w:rPr>
          <w:color w:val="6E6158"/>
        </w:rPr>
        <w:t>statutory</w:t>
      </w:r>
      <w:r>
        <w:rPr>
          <w:color w:val="6E6158"/>
          <w:spacing w:val="32"/>
        </w:rPr>
        <w:t> </w:t>
      </w:r>
      <w:r>
        <w:rPr>
          <w:color w:val="6E6158"/>
        </w:rPr>
        <w:t>interpretation,</w:t>
      </w:r>
      <w:r>
        <w:rPr>
          <w:color w:val="6E6158"/>
          <w:spacing w:val="32"/>
        </w:rPr>
        <w:t> </w:t>
      </w:r>
      <w:r>
        <w:rPr>
          <w:color w:val="6E6158"/>
        </w:rPr>
        <w:t>employment</w:t>
      </w:r>
      <w:r>
        <w:rPr>
          <w:color w:val="6E6158"/>
          <w:spacing w:val="32"/>
        </w:rPr>
        <w:t> </w:t>
      </w:r>
      <w:r>
        <w:rPr>
          <w:color w:val="6E6158"/>
        </w:rPr>
        <w:t>law,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emerging</w:t>
      </w:r>
      <w:r>
        <w:rPr>
          <w:color w:val="6E6158"/>
          <w:spacing w:val="32"/>
        </w:rPr>
        <w:t> </w:t>
      </w:r>
      <w:r>
        <w:rPr>
          <w:color w:val="6E6158"/>
        </w:rPr>
        <w:t>issues</w:t>
      </w:r>
      <w:r>
        <w:rPr>
          <w:color w:val="6E6158"/>
          <w:spacing w:val="32"/>
        </w:rPr>
        <w:t> </w:t>
      </w:r>
      <w:r>
        <w:rPr>
          <w:color w:val="6E6158"/>
        </w:rPr>
        <w:t>at</w:t>
      </w:r>
      <w:r>
        <w:rPr>
          <w:color w:val="6E6158"/>
          <w:spacing w:val="32"/>
        </w:rPr>
        <w:t> </w:t>
      </w:r>
      <w:r>
        <w:rPr>
          <w:color w:val="6E6158"/>
        </w:rPr>
        <w:t>the</w:t>
      </w:r>
      <w:r>
        <w:rPr>
          <w:color w:val="6E6158"/>
          <w:spacing w:val="32"/>
        </w:rPr>
        <w:t> </w:t>
      </w:r>
      <w:r>
        <w:rPr>
          <w:color w:val="6E6158"/>
        </w:rPr>
        <w:t>intersection</w:t>
      </w:r>
      <w:r>
        <w:rPr>
          <w:color w:val="6E6158"/>
          <w:spacing w:val="32"/>
        </w:rPr>
        <w:t> </w:t>
      </w:r>
      <w:r>
        <w:rPr>
          <w:color w:val="6E6158"/>
        </w:rPr>
        <w:t>of</w:t>
      </w:r>
      <w:r>
        <w:rPr>
          <w:color w:val="6E6158"/>
          <w:spacing w:val="32"/>
        </w:rPr>
        <w:t> </w:t>
      </w:r>
      <w:r>
        <w:rPr>
          <w:color w:val="6E6158"/>
        </w:rPr>
        <w:t>law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</w:p>
    <w:p>
      <w:pPr>
        <w:pStyle w:val="BodyText"/>
        <w:spacing w:before="1"/>
        <w:ind w:left="99"/>
      </w:pPr>
      <w:r>
        <w:rPr>
          <w:color w:val="6E6158"/>
        </w:rPr>
        <w:t>technology,</w:t>
      </w:r>
      <w:r>
        <w:rPr>
          <w:color w:val="6E6158"/>
          <w:spacing w:val="14"/>
        </w:rPr>
        <w:t> </w:t>
      </w:r>
      <w:r>
        <w:rPr>
          <w:color w:val="6E6158"/>
        </w:rPr>
        <w:t>reflecting</w:t>
      </w:r>
      <w:r>
        <w:rPr>
          <w:color w:val="6E6158"/>
          <w:spacing w:val="14"/>
        </w:rPr>
        <w:t> </w:t>
      </w:r>
      <w:r>
        <w:rPr>
          <w:color w:val="6E6158"/>
        </w:rPr>
        <w:t>his</w:t>
      </w:r>
      <w:r>
        <w:rPr>
          <w:color w:val="6E6158"/>
          <w:spacing w:val="15"/>
        </w:rPr>
        <w:t> </w:t>
      </w:r>
      <w:r>
        <w:rPr>
          <w:color w:val="6E6158"/>
        </w:rPr>
        <w:t>longstanding</w:t>
      </w:r>
      <w:r>
        <w:rPr>
          <w:color w:val="6E6158"/>
          <w:spacing w:val="14"/>
        </w:rPr>
        <w:t> </w:t>
      </w:r>
      <w:r>
        <w:rPr>
          <w:color w:val="6E6158"/>
        </w:rPr>
        <w:t>interest</w:t>
      </w:r>
      <w:r>
        <w:rPr>
          <w:color w:val="6E6158"/>
          <w:spacing w:val="15"/>
        </w:rPr>
        <w:t> </w:t>
      </w:r>
      <w:r>
        <w:rPr>
          <w:color w:val="6E6158"/>
        </w:rPr>
        <w:t>in</w:t>
      </w:r>
      <w:r>
        <w:rPr>
          <w:color w:val="6E6158"/>
          <w:spacing w:val="14"/>
        </w:rPr>
        <w:t> </w:t>
      </w:r>
      <w:r>
        <w:rPr>
          <w:color w:val="6E6158"/>
        </w:rPr>
        <w:t>legal</w:t>
      </w:r>
      <w:r>
        <w:rPr>
          <w:color w:val="6E6158"/>
          <w:spacing w:val="15"/>
        </w:rPr>
        <w:t> </w:t>
      </w:r>
      <w:r>
        <w:rPr>
          <w:color w:val="6E6158"/>
        </w:rPr>
        <w:t>analysis,</w:t>
      </w:r>
      <w:r>
        <w:rPr>
          <w:color w:val="6E6158"/>
          <w:spacing w:val="14"/>
        </w:rPr>
        <w:t> </w:t>
      </w:r>
      <w:r>
        <w:rPr>
          <w:color w:val="6E6158"/>
        </w:rPr>
        <w:t>advocacy,</w:t>
      </w:r>
      <w:r>
        <w:rPr>
          <w:color w:val="6E6158"/>
          <w:spacing w:val="15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forecasting.</w:t>
      </w:r>
    </w:p>
    <w:p>
      <w:pPr>
        <w:pStyle w:val="BodyText"/>
        <w:spacing w:after="0"/>
        <w:sectPr>
          <w:type w:val="continuous"/>
          <w:pgSz w:w="12240" w:h="15840"/>
          <w:pgMar w:top="560" w:bottom="280" w:left="1440" w:right="1440"/>
        </w:sectPr>
      </w:pPr>
    </w:p>
    <w:p>
      <w:pPr>
        <w:pStyle w:val="Heading1"/>
        <w:spacing w:before="83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99"/>
      </w:pPr>
      <w:r>
        <w:rPr>
          <w:color w:val="6E6158"/>
        </w:rPr>
        <w:t>J.D.,</w:t>
      </w:r>
      <w:r>
        <w:rPr>
          <w:color w:val="6E6158"/>
          <w:spacing w:val="2"/>
        </w:rPr>
        <w:t> </w:t>
      </w:r>
      <w:r>
        <w:rPr>
          <w:color w:val="6E6158"/>
        </w:rPr>
        <w:t>Yale</w:t>
      </w:r>
      <w:r>
        <w:rPr>
          <w:color w:val="6E6158"/>
          <w:spacing w:val="2"/>
        </w:rPr>
        <w:t> </w:t>
      </w:r>
      <w:r>
        <w:rPr>
          <w:color w:val="6E6158"/>
        </w:rPr>
        <w:t>Law</w:t>
      </w:r>
      <w:r>
        <w:rPr>
          <w:color w:val="6E6158"/>
          <w:spacing w:val="3"/>
        </w:rPr>
        <w:t> </w:t>
      </w:r>
      <w:r>
        <w:rPr>
          <w:color w:val="6E6158"/>
          <w:spacing w:val="-2"/>
        </w:rPr>
        <w:t>School</w:t>
      </w:r>
    </w:p>
    <w:p>
      <w:pPr>
        <w:spacing w:line="417" w:lineRule="auto" w:before="149"/>
        <w:ind w:left="99" w:right="5125" w:firstLine="0"/>
        <w:jc w:val="left"/>
        <w:rPr>
          <w:i/>
          <w:sz w:val="20"/>
        </w:rPr>
      </w:pPr>
      <w:r>
        <w:rPr>
          <w:color w:val="6E6158"/>
          <w:sz w:val="19"/>
        </w:rPr>
        <w:t>Potter Stewart Prize, Moot Court </w:t>
      </w:r>
      <w:r>
        <w:rPr>
          <w:color w:val="6E6158"/>
          <w:sz w:val="19"/>
        </w:rPr>
        <w:t>Winner Senior Editor, </w:t>
      </w:r>
      <w:r>
        <w:rPr>
          <w:i/>
          <w:color w:val="6E6158"/>
          <w:sz w:val="20"/>
        </w:rPr>
        <w:t>Yale Law Journal</w:t>
      </w:r>
    </w:p>
    <w:p>
      <w:pPr>
        <w:spacing w:line="225" w:lineRule="exact" w:before="0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B.A.,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University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Notre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Dame,</w:t>
      </w:r>
      <w:r>
        <w:rPr>
          <w:color w:val="6E6158"/>
          <w:spacing w:val="3"/>
          <w:sz w:val="19"/>
        </w:rPr>
        <w:t> </w:t>
      </w:r>
      <w:r>
        <w:rPr>
          <w:i/>
          <w:color w:val="6E6158"/>
          <w:sz w:val="20"/>
        </w:rPr>
        <w:t>summa cum </w:t>
      </w:r>
      <w:r>
        <w:rPr>
          <w:i/>
          <w:color w:val="6E6158"/>
          <w:spacing w:val="-2"/>
          <w:sz w:val="20"/>
        </w:rPr>
        <w:t>laude</w:t>
      </w:r>
    </w:p>
    <w:p>
      <w:pPr>
        <w:pStyle w:val="BodyText"/>
        <w:spacing w:line="420" w:lineRule="auto" w:before="148"/>
        <w:ind w:left="99" w:right="5995"/>
      </w:pPr>
      <w:r>
        <w:rPr>
          <w:color w:val="6E6158"/>
        </w:rPr>
        <w:t>Valedictorian of</w:t>
      </w:r>
      <w:r>
        <w:rPr>
          <w:color w:val="6E6158"/>
          <w:spacing w:val="40"/>
        </w:rPr>
        <w:t> </w:t>
      </w:r>
      <w:r>
        <w:rPr>
          <w:color w:val="6E6158"/>
        </w:rPr>
        <w:t>Class of </w:t>
      </w:r>
      <w:r>
        <w:rPr>
          <w:color w:val="6E6158"/>
        </w:rPr>
        <w:t>2005 Helen Kellogg Prize</w:t>
      </w:r>
    </w:p>
    <w:p>
      <w:pPr>
        <w:pStyle w:val="BodyText"/>
        <w:spacing w:line="420" w:lineRule="auto" w:before="6"/>
        <w:ind w:left="99" w:right="6949"/>
      </w:pPr>
      <w:r>
        <w:rPr>
          <w:color w:val="6E6158"/>
        </w:rPr>
        <w:t>Herman Crown </w:t>
      </w:r>
      <w:r>
        <w:rPr>
          <w:color w:val="6E6158"/>
        </w:rPr>
        <w:t>Award Phi Beta Kappa</w:t>
      </w:r>
    </w:p>
    <w:p>
      <w:pPr>
        <w:pStyle w:val="Heading1"/>
        <w:spacing w:before="282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427" w:lineRule="auto" w:before="1"/>
        <w:ind w:left="99" w:right="6949"/>
      </w:pPr>
      <w:r>
        <w:rPr>
          <w:color w:val="6E6158"/>
        </w:rPr>
        <w:t>Business Litigation Cannabis</w:t>
      </w:r>
      <w:r>
        <w:rPr>
          <w:color w:val="6E6158"/>
          <w:spacing w:val="18"/>
        </w:rPr>
        <w:t> </w:t>
      </w:r>
      <w:r>
        <w:rPr>
          <w:color w:val="6E6158"/>
          <w:spacing w:val="-2"/>
        </w:rPr>
        <w:t>Business</w:t>
      </w:r>
    </w:p>
    <w:p>
      <w:pPr>
        <w:pStyle w:val="Heading1"/>
        <w:spacing w:before="275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MATTERS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292" w:lineRule="auto"/>
        <w:ind w:left="99" w:right="427"/>
      </w:pPr>
      <w:r>
        <w:rPr>
          <w:color w:val="6E6158"/>
        </w:rPr>
        <w:t>Advised and counseled on legal protections under Nevada law for spendthrift trusts with </w:t>
      </w:r>
      <w:r>
        <w:rPr>
          <w:color w:val="6E6158"/>
        </w:rPr>
        <w:t>assets</w:t>
      </w:r>
      <w:r>
        <w:rPr>
          <w:color w:val="6E6158"/>
          <w:spacing w:val="40"/>
        </w:rPr>
        <w:t> </w:t>
      </w:r>
      <w:r>
        <w:rPr>
          <w:color w:val="6E6158"/>
        </w:rPr>
        <w:t>worth billions of dollars.</w:t>
      </w:r>
    </w:p>
    <w:p>
      <w:pPr>
        <w:pStyle w:val="BodyText"/>
        <w:spacing w:line="302" w:lineRule="auto" w:before="123"/>
        <w:ind w:left="99" w:right="217"/>
      </w:pPr>
      <w:r>
        <w:rPr>
          <w:color w:val="6E6158"/>
        </w:rPr>
        <w:t>Crafted complex legal argument that helped settle multi-million-dollar dispute over </w:t>
      </w:r>
      <w:r>
        <w:rPr>
          <w:color w:val="6E6158"/>
        </w:rPr>
        <w:t>holographic</w:t>
      </w:r>
      <w:r>
        <w:rPr>
          <w:color w:val="6E6158"/>
          <w:spacing w:val="40"/>
        </w:rPr>
        <w:t> </w:t>
      </w:r>
      <w:r>
        <w:rPr>
          <w:color w:val="6E6158"/>
        </w:rPr>
        <w:t>will on favorable terms for prestigious out-of-state university.</w:t>
      </w:r>
    </w:p>
    <w:p>
      <w:pPr>
        <w:pStyle w:val="BodyText"/>
        <w:spacing w:line="292" w:lineRule="auto" w:before="113"/>
        <w:ind w:left="99"/>
      </w:pPr>
      <w:r>
        <w:rPr>
          <w:color w:val="6E6158"/>
        </w:rPr>
        <w:t>Exposed fabricated claims by plaintiff that resulted in complete dismissal of federal lawsuit with</w:t>
      </w:r>
      <w:r>
        <w:rPr>
          <w:color w:val="6E6158"/>
          <w:spacing w:val="40"/>
        </w:rPr>
        <w:t> </w:t>
      </w:r>
      <w:r>
        <w:rPr>
          <w:color w:val="6E6158"/>
        </w:rPr>
        <w:t>serious allegations against client under quasi-criminal, sex-trafficking law.</w:t>
      </w:r>
    </w:p>
    <w:p>
      <w:pPr>
        <w:pStyle w:val="BodyText"/>
        <w:spacing w:line="420" w:lineRule="auto" w:before="132"/>
        <w:ind w:left="99"/>
      </w:pPr>
      <w:r>
        <w:rPr>
          <w:color w:val="6E6158"/>
        </w:rPr>
        <w:t>Spearheaded litigation in probate/guardianship cases with 3/4 of a billion dollars in trust at stake.</w:t>
      </w:r>
      <w:r>
        <w:rPr>
          <w:color w:val="6E6158"/>
          <w:spacing w:val="40"/>
        </w:rPr>
        <w:t> </w:t>
      </w:r>
      <w:r>
        <w:rPr>
          <w:color w:val="6E6158"/>
        </w:rPr>
        <w:t>Achieved</w:t>
      </w:r>
      <w:r>
        <w:rPr>
          <w:color w:val="6E6158"/>
          <w:spacing w:val="40"/>
        </w:rPr>
        <w:t> </w:t>
      </w:r>
      <w:r>
        <w:rPr>
          <w:color w:val="6E6158"/>
        </w:rPr>
        <w:t>restatement</w:t>
      </w:r>
      <w:r>
        <w:rPr>
          <w:color w:val="6E6158"/>
          <w:spacing w:val="40"/>
        </w:rPr>
        <w:t> </w:t>
      </w:r>
      <w:r>
        <w:rPr>
          <w:color w:val="6E6158"/>
        </w:rPr>
        <w:t>of</w:t>
      </w:r>
      <w:r>
        <w:rPr>
          <w:color w:val="6E6158"/>
          <w:spacing w:val="40"/>
        </w:rPr>
        <w:t> </w:t>
      </w:r>
      <w:r>
        <w:rPr>
          <w:color w:val="6E6158"/>
        </w:rPr>
        <w:t>trust</w:t>
      </w:r>
      <w:r>
        <w:rPr>
          <w:color w:val="6E6158"/>
          <w:spacing w:val="40"/>
        </w:rPr>
        <w:t> </w:t>
      </w:r>
      <w:r>
        <w:rPr>
          <w:color w:val="6E6158"/>
        </w:rPr>
        <w:t>over</w:t>
      </w:r>
      <w:r>
        <w:rPr>
          <w:color w:val="6E6158"/>
          <w:spacing w:val="40"/>
        </w:rPr>
        <w:t> </w:t>
      </w:r>
      <w:r>
        <w:rPr>
          <w:color w:val="6E6158"/>
        </w:rPr>
        <w:t>allegations</w:t>
      </w:r>
      <w:r>
        <w:rPr>
          <w:color w:val="6E6158"/>
          <w:spacing w:val="40"/>
        </w:rPr>
        <w:t> </w:t>
      </w:r>
      <w:r>
        <w:rPr>
          <w:color w:val="6E6158"/>
        </w:rPr>
        <w:t>of</w:t>
      </w:r>
      <w:r>
        <w:rPr>
          <w:color w:val="6E6158"/>
          <w:spacing w:val="40"/>
        </w:rPr>
        <w:t> </w:t>
      </w:r>
      <w:r>
        <w:rPr>
          <w:color w:val="6E6158"/>
        </w:rPr>
        <w:t>testamentary</w:t>
      </w:r>
      <w:r>
        <w:rPr>
          <w:color w:val="6E6158"/>
          <w:spacing w:val="40"/>
        </w:rPr>
        <w:t> </w:t>
      </w:r>
      <w:r>
        <w:rPr>
          <w:color w:val="6E6158"/>
        </w:rPr>
        <w:t>incapacity/undue</w:t>
      </w:r>
      <w:r>
        <w:rPr>
          <w:color w:val="6E6158"/>
          <w:spacing w:val="40"/>
        </w:rPr>
        <w:t> </w:t>
      </w:r>
      <w:r>
        <w:rPr>
          <w:color w:val="6E6158"/>
        </w:rPr>
        <w:t>influence.</w:t>
      </w:r>
    </w:p>
    <w:p>
      <w:pPr>
        <w:pStyle w:val="BodyText"/>
        <w:spacing w:line="422" w:lineRule="auto"/>
        <w:ind w:left="99" w:right="217"/>
      </w:pPr>
      <w:r>
        <w:rPr>
          <w:color w:val="6E6158"/>
        </w:rPr>
        <w:t>Achieved</w:t>
      </w:r>
      <w:r>
        <w:rPr>
          <w:color w:val="6E6158"/>
          <w:spacing w:val="33"/>
        </w:rPr>
        <w:t> </w:t>
      </w:r>
      <w:r>
        <w:rPr>
          <w:color w:val="6E6158"/>
        </w:rPr>
        <w:t>removal</w:t>
      </w:r>
      <w:r>
        <w:rPr>
          <w:color w:val="6E6158"/>
          <w:spacing w:val="33"/>
        </w:rPr>
        <w:t> </w:t>
      </w:r>
      <w:r>
        <w:rPr>
          <w:color w:val="6E6158"/>
        </w:rPr>
        <w:t>of</w:t>
      </w:r>
      <w:r>
        <w:rPr>
          <w:color w:val="6E6158"/>
          <w:spacing w:val="33"/>
        </w:rPr>
        <w:t> </w:t>
      </w:r>
      <w:r>
        <w:rPr>
          <w:color w:val="6E6158"/>
        </w:rPr>
        <w:t>personal</w:t>
      </w:r>
      <w:r>
        <w:rPr>
          <w:color w:val="6E6158"/>
          <w:spacing w:val="33"/>
        </w:rPr>
        <w:t> </w:t>
      </w:r>
      <w:r>
        <w:rPr>
          <w:color w:val="6E6158"/>
        </w:rPr>
        <w:t>representative</w:t>
      </w:r>
      <w:r>
        <w:rPr>
          <w:color w:val="6E6158"/>
          <w:spacing w:val="33"/>
        </w:rPr>
        <w:t> </w:t>
      </w:r>
      <w:r>
        <w:rPr>
          <w:color w:val="6E6158"/>
        </w:rPr>
        <w:t>of</w:t>
      </w:r>
      <w:r>
        <w:rPr>
          <w:color w:val="6E6158"/>
          <w:spacing w:val="33"/>
        </w:rPr>
        <w:t> </w:t>
      </w:r>
      <w:r>
        <w:rPr>
          <w:color w:val="6E6158"/>
        </w:rPr>
        <w:t>estate</w:t>
      </w:r>
      <w:r>
        <w:rPr>
          <w:color w:val="6E6158"/>
          <w:spacing w:val="33"/>
        </w:rPr>
        <w:t> </w:t>
      </w:r>
      <w:r>
        <w:rPr>
          <w:color w:val="6E6158"/>
        </w:rPr>
        <w:t>and</w:t>
      </w:r>
      <w:r>
        <w:rPr>
          <w:color w:val="6E6158"/>
          <w:spacing w:val="33"/>
        </w:rPr>
        <w:t> </w:t>
      </w:r>
      <w:r>
        <w:rPr>
          <w:color w:val="6E6158"/>
        </w:rPr>
        <w:t>successor</w:t>
      </w:r>
      <w:r>
        <w:rPr>
          <w:color w:val="6E6158"/>
          <w:spacing w:val="33"/>
        </w:rPr>
        <w:t> </w:t>
      </w:r>
      <w:r>
        <w:rPr>
          <w:color w:val="6E6158"/>
        </w:rPr>
        <w:t>trustee</w:t>
      </w:r>
      <w:r>
        <w:rPr>
          <w:color w:val="6E6158"/>
          <w:spacing w:val="33"/>
        </w:rPr>
        <w:t> </w:t>
      </w:r>
      <w:r>
        <w:rPr>
          <w:color w:val="6E6158"/>
        </w:rPr>
        <w:t>of</w:t>
      </w:r>
      <w:r>
        <w:rPr>
          <w:color w:val="6E6158"/>
          <w:spacing w:val="33"/>
        </w:rPr>
        <w:t> </w:t>
      </w:r>
      <w:r>
        <w:rPr>
          <w:color w:val="6E6158"/>
        </w:rPr>
        <w:t>trust. Achieved trial verdict for damages and order for company to recover assets from exmanager.</w:t>
      </w:r>
      <w:r>
        <w:rPr>
          <w:color w:val="6E6158"/>
          <w:spacing w:val="40"/>
        </w:rPr>
        <w:t> </w:t>
      </w:r>
      <w:r>
        <w:rPr>
          <w:color w:val="6E6158"/>
        </w:rPr>
        <w:t>Achieved</w:t>
      </w:r>
      <w:r>
        <w:rPr>
          <w:color w:val="6E6158"/>
          <w:spacing w:val="30"/>
        </w:rPr>
        <w:t> </w:t>
      </w:r>
      <w:r>
        <w:rPr>
          <w:color w:val="6E6158"/>
        </w:rPr>
        <w:t>arbitration</w:t>
      </w:r>
      <w:r>
        <w:rPr>
          <w:color w:val="6E6158"/>
          <w:spacing w:val="30"/>
        </w:rPr>
        <w:t> </w:t>
      </w:r>
      <w:r>
        <w:rPr>
          <w:color w:val="6E6158"/>
        </w:rPr>
        <w:t>award</w:t>
      </w:r>
      <w:r>
        <w:rPr>
          <w:color w:val="6E6158"/>
          <w:spacing w:val="30"/>
        </w:rPr>
        <w:t> </w:t>
      </w:r>
      <w:r>
        <w:rPr>
          <w:color w:val="6E6158"/>
        </w:rPr>
        <w:t>that</w:t>
      </w:r>
      <w:r>
        <w:rPr>
          <w:color w:val="6E6158"/>
          <w:spacing w:val="30"/>
        </w:rPr>
        <w:t> </w:t>
      </w:r>
      <w:r>
        <w:rPr>
          <w:color w:val="6E6158"/>
        </w:rPr>
        <w:t>police</w:t>
      </w:r>
      <w:r>
        <w:rPr>
          <w:color w:val="6E6158"/>
          <w:spacing w:val="30"/>
        </w:rPr>
        <w:t> </w:t>
      </w:r>
      <w:r>
        <w:rPr>
          <w:color w:val="6E6158"/>
        </w:rPr>
        <w:t>department</w:t>
      </w:r>
      <w:r>
        <w:rPr>
          <w:color w:val="6E6158"/>
          <w:spacing w:val="30"/>
        </w:rPr>
        <w:t> </w:t>
      </w:r>
      <w:r>
        <w:rPr>
          <w:color w:val="6E6158"/>
        </w:rPr>
        <w:t>had</w:t>
      </w:r>
      <w:r>
        <w:rPr>
          <w:color w:val="6E6158"/>
          <w:spacing w:val="30"/>
        </w:rPr>
        <w:t> </w:t>
      </w:r>
      <w:r>
        <w:rPr>
          <w:color w:val="6E6158"/>
        </w:rPr>
        <w:t>just</w:t>
      </w:r>
      <w:r>
        <w:rPr>
          <w:color w:val="6E6158"/>
          <w:spacing w:val="30"/>
        </w:rPr>
        <w:t> </w:t>
      </w:r>
      <w:r>
        <w:rPr>
          <w:color w:val="6E6158"/>
        </w:rPr>
        <w:t>cause</w:t>
      </w:r>
      <w:r>
        <w:rPr>
          <w:color w:val="6E6158"/>
          <w:spacing w:val="30"/>
        </w:rPr>
        <w:t> </w:t>
      </w:r>
      <w:r>
        <w:rPr>
          <w:color w:val="6E6158"/>
        </w:rPr>
        <w:t>to</w:t>
      </w:r>
      <w:r>
        <w:rPr>
          <w:color w:val="6E6158"/>
          <w:spacing w:val="30"/>
        </w:rPr>
        <w:t> </w:t>
      </w:r>
      <w:r>
        <w:rPr>
          <w:color w:val="6E6158"/>
        </w:rPr>
        <w:t>fire</w:t>
      </w:r>
      <w:r>
        <w:rPr>
          <w:color w:val="6E6158"/>
          <w:spacing w:val="30"/>
        </w:rPr>
        <w:t> </w:t>
      </w:r>
      <w:r>
        <w:rPr>
          <w:color w:val="6E6158"/>
        </w:rPr>
        <w:t>police</w:t>
      </w:r>
      <w:r>
        <w:rPr>
          <w:color w:val="6E6158"/>
          <w:spacing w:val="30"/>
        </w:rPr>
        <w:t> </w:t>
      </w:r>
      <w:r>
        <w:rPr>
          <w:color w:val="6E6158"/>
        </w:rPr>
        <w:t>officer.</w:t>
      </w:r>
    </w:p>
    <w:p>
      <w:pPr>
        <w:pStyle w:val="BodyText"/>
        <w:spacing w:line="420" w:lineRule="auto"/>
        <w:ind w:left="99" w:right="770"/>
        <w:jc w:val="both"/>
      </w:pPr>
      <w:r>
        <w:rPr>
          <w:color w:val="6E6158"/>
        </w:rPr>
        <w:t>Achieved order issuing pretrial writ of habeas corpus and dismissing felony perjury charge. Achieved favorable settlement in mediation of federal employment discrimination </w:t>
      </w:r>
      <w:r>
        <w:rPr>
          <w:color w:val="6E6158"/>
        </w:rPr>
        <w:t>claims. Deposed</w:t>
      </w:r>
      <w:r>
        <w:rPr>
          <w:color w:val="6E6158"/>
          <w:spacing w:val="29"/>
        </w:rPr>
        <w:t> </w:t>
      </w:r>
      <w:r>
        <w:rPr>
          <w:color w:val="6E6158"/>
        </w:rPr>
        <w:t>expert</w:t>
      </w:r>
      <w:r>
        <w:rPr>
          <w:color w:val="6E6158"/>
          <w:spacing w:val="29"/>
        </w:rPr>
        <w:t> </w:t>
      </w:r>
      <w:r>
        <w:rPr>
          <w:color w:val="6E6158"/>
        </w:rPr>
        <w:t>witness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helped</w:t>
      </w:r>
      <w:r>
        <w:rPr>
          <w:color w:val="6E6158"/>
          <w:spacing w:val="29"/>
        </w:rPr>
        <w:t> </w:t>
      </w:r>
      <w:r>
        <w:rPr>
          <w:color w:val="6E6158"/>
        </w:rPr>
        <w:t>settle</w:t>
      </w:r>
      <w:r>
        <w:rPr>
          <w:color w:val="6E6158"/>
          <w:spacing w:val="29"/>
        </w:rPr>
        <w:t> </w:t>
      </w:r>
      <w:r>
        <w:rPr>
          <w:color w:val="6E6158"/>
        </w:rPr>
        <w:t>trust</w:t>
      </w:r>
      <w:r>
        <w:rPr>
          <w:color w:val="6E6158"/>
          <w:spacing w:val="29"/>
        </w:rPr>
        <w:t> </w:t>
      </w:r>
      <w:r>
        <w:rPr>
          <w:color w:val="6E6158"/>
        </w:rPr>
        <w:t>contest</w:t>
      </w:r>
      <w:r>
        <w:rPr>
          <w:color w:val="6E6158"/>
          <w:spacing w:val="29"/>
        </w:rPr>
        <w:t> </w:t>
      </w:r>
      <w:r>
        <w:rPr>
          <w:color w:val="6E6158"/>
        </w:rPr>
        <w:t>of</w:t>
      </w:r>
      <w:r>
        <w:rPr>
          <w:color w:val="6E6158"/>
          <w:spacing w:val="29"/>
        </w:rPr>
        <w:t> </w:t>
      </w:r>
      <w:r>
        <w:rPr>
          <w:color w:val="6E6158"/>
        </w:rPr>
        <w:t>hundreds</w:t>
      </w:r>
      <w:r>
        <w:rPr>
          <w:color w:val="6E6158"/>
          <w:spacing w:val="29"/>
        </w:rPr>
        <w:t> </w:t>
      </w:r>
      <w:r>
        <w:rPr>
          <w:color w:val="6E6158"/>
        </w:rPr>
        <w:t>of</w:t>
      </w:r>
      <w:r>
        <w:rPr>
          <w:color w:val="6E6158"/>
          <w:spacing w:val="29"/>
        </w:rPr>
        <w:t> </w:t>
      </w:r>
      <w:r>
        <w:rPr>
          <w:color w:val="6E6158"/>
        </w:rPr>
        <w:t>millions</w:t>
      </w:r>
      <w:r>
        <w:rPr>
          <w:color w:val="6E6158"/>
          <w:spacing w:val="29"/>
        </w:rPr>
        <w:t> </w:t>
      </w:r>
      <w:r>
        <w:rPr>
          <w:color w:val="6E6158"/>
        </w:rPr>
        <w:t>of</w:t>
      </w:r>
      <w:r>
        <w:rPr>
          <w:color w:val="6E6158"/>
          <w:spacing w:val="29"/>
        </w:rPr>
        <w:t> </w:t>
      </w:r>
      <w:r>
        <w:rPr>
          <w:color w:val="6E6158"/>
        </w:rPr>
        <w:t>dollars.</w:t>
      </w:r>
    </w:p>
    <w:p>
      <w:pPr>
        <w:pStyle w:val="BodyText"/>
        <w:spacing w:before="2"/>
        <w:ind w:left="99"/>
        <w:jc w:val="both"/>
      </w:pPr>
      <w:r>
        <w:rPr>
          <w:color w:val="6E6158"/>
        </w:rPr>
        <w:t>Deposed</w:t>
      </w:r>
      <w:r>
        <w:rPr>
          <w:color w:val="6E6158"/>
          <w:spacing w:val="13"/>
        </w:rPr>
        <w:t> </w:t>
      </w:r>
      <w:r>
        <w:rPr>
          <w:color w:val="6E6158"/>
        </w:rPr>
        <w:t>party</w:t>
      </w:r>
      <w:r>
        <w:rPr>
          <w:color w:val="6E6158"/>
          <w:spacing w:val="13"/>
        </w:rPr>
        <w:t> </w:t>
      </w:r>
      <w:r>
        <w:rPr>
          <w:color w:val="6E6158"/>
        </w:rPr>
        <w:t>opponent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her</w:t>
      </w:r>
      <w:r>
        <w:rPr>
          <w:color w:val="6E6158"/>
          <w:spacing w:val="13"/>
        </w:rPr>
        <w:t> </w:t>
      </w:r>
      <w:r>
        <w:rPr>
          <w:color w:val="6E6158"/>
        </w:rPr>
        <w:t>accountant</w:t>
      </w:r>
      <w:r>
        <w:rPr>
          <w:color w:val="6E6158"/>
          <w:spacing w:val="14"/>
        </w:rPr>
        <w:t> </w:t>
      </w:r>
      <w:r>
        <w:rPr>
          <w:color w:val="6E6158"/>
        </w:rPr>
        <w:t>in</w:t>
      </w:r>
      <w:r>
        <w:rPr>
          <w:color w:val="6E6158"/>
          <w:spacing w:val="13"/>
        </w:rPr>
        <w:t> </w:t>
      </w:r>
      <w:r>
        <w:rPr>
          <w:color w:val="6E6158"/>
        </w:rPr>
        <w:t>litigation</w:t>
      </w:r>
      <w:r>
        <w:rPr>
          <w:color w:val="6E6158"/>
          <w:spacing w:val="14"/>
        </w:rPr>
        <w:t> </w:t>
      </w:r>
      <w:r>
        <w:rPr>
          <w:color w:val="6E6158"/>
        </w:rPr>
        <w:t>over</w:t>
      </w:r>
      <w:r>
        <w:rPr>
          <w:color w:val="6E6158"/>
          <w:spacing w:val="13"/>
        </w:rPr>
        <w:t> </w:t>
      </w:r>
      <w:r>
        <w:rPr>
          <w:color w:val="6E6158"/>
        </w:rPr>
        <w:t>personal</w:t>
      </w:r>
      <w:r>
        <w:rPr>
          <w:color w:val="6E6158"/>
          <w:spacing w:val="13"/>
        </w:rPr>
        <w:t> </w:t>
      </w:r>
      <w:r>
        <w:rPr>
          <w:color w:val="6E6158"/>
        </w:rPr>
        <w:t>service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agreement.</w:t>
      </w:r>
    </w:p>
    <w:p>
      <w:pPr>
        <w:pStyle w:val="BodyText"/>
        <w:spacing w:line="292" w:lineRule="auto" w:before="174"/>
        <w:ind w:left="99"/>
      </w:pPr>
      <w:r>
        <w:rPr>
          <w:color w:val="6E6158"/>
        </w:rPr>
        <w:t>Negotiated favorable settlement of trust contest of millions of dollars for prestigious out-of-</w:t>
      </w:r>
      <w:r>
        <w:rPr>
          <w:color w:val="6E6158"/>
        </w:rPr>
        <w:t>state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university.</w:t>
      </w:r>
    </w:p>
    <w:p>
      <w:pPr>
        <w:pStyle w:val="BodyText"/>
        <w:spacing w:before="124"/>
        <w:ind w:left="99"/>
        <w:jc w:val="both"/>
      </w:pPr>
      <w:r>
        <w:rPr>
          <w:color w:val="6E6158"/>
        </w:rPr>
        <w:t>Removed</w:t>
      </w:r>
      <w:r>
        <w:rPr>
          <w:color w:val="6E6158"/>
          <w:spacing w:val="10"/>
        </w:rPr>
        <w:t> </w:t>
      </w:r>
      <w:r>
        <w:rPr>
          <w:color w:val="6E6158"/>
        </w:rPr>
        <w:t>notice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pendency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litigation</w:t>
      </w:r>
      <w:r>
        <w:rPr>
          <w:color w:val="6E6158"/>
          <w:spacing w:val="10"/>
        </w:rPr>
        <w:t> </w:t>
      </w:r>
      <w:r>
        <w:rPr>
          <w:color w:val="6E6158"/>
        </w:rPr>
        <w:t>on</w:t>
      </w:r>
      <w:r>
        <w:rPr>
          <w:color w:val="6E6158"/>
          <w:spacing w:val="11"/>
        </w:rPr>
        <w:t> </w:t>
      </w:r>
      <w:r>
        <w:rPr>
          <w:color w:val="6E6158"/>
        </w:rPr>
        <w:t>real</w:t>
      </w:r>
      <w:r>
        <w:rPr>
          <w:color w:val="6E6158"/>
          <w:spacing w:val="11"/>
        </w:rPr>
        <w:t> </w:t>
      </w:r>
      <w:r>
        <w:rPr>
          <w:color w:val="6E6158"/>
        </w:rPr>
        <w:t>estate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</w:rPr>
        <w:t>had</w:t>
      </w:r>
      <w:r>
        <w:rPr>
          <w:color w:val="6E6158"/>
          <w:spacing w:val="10"/>
        </w:rPr>
        <w:t> </w:t>
      </w:r>
      <w:r>
        <w:rPr>
          <w:color w:val="6E6158"/>
        </w:rPr>
        <w:t>quiet</w:t>
      </w:r>
      <w:r>
        <w:rPr>
          <w:color w:val="6E6158"/>
          <w:spacing w:val="11"/>
        </w:rPr>
        <w:t> </w:t>
      </w:r>
      <w:r>
        <w:rPr>
          <w:color w:val="6E6158"/>
        </w:rPr>
        <w:t>title</w:t>
      </w:r>
      <w:r>
        <w:rPr>
          <w:color w:val="6E6158"/>
          <w:spacing w:val="11"/>
        </w:rPr>
        <w:t> </w:t>
      </w:r>
      <w:r>
        <w:rPr>
          <w:color w:val="6E6158"/>
        </w:rPr>
        <w:t>action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dismissed.</w:t>
      </w:r>
    </w:p>
    <w:p>
      <w:pPr>
        <w:pStyle w:val="BodyText"/>
        <w:spacing w:line="292" w:lineRule="auto" w:before="182"/>
        <w:ind w:left="99" w:right="427"/>
      </w:pPr>
      <w:r>
        <w:rPr>
          <w:color w:val="6E6158"/>
        </w:rPr>
        <w:t>Represented applicants seeking protection orders and defendants charged with </w:t>
      </w:r>
      <w:r>
        <w:rPr>
          <w:color w:val="6E6158"/>
        </w:rPr>
        <w:t>nonviolent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crimes.</w:t>
      </w:r>
    </w:p>
    <w:p>
      <w:pPr>
        <w:pStyle w:val="BodyText"/>
        <w:spacing w:before="112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Heading1"/>
        <w:spacing w:after="0"/>
        <w:sectPr>
          <w:pgSz w:w="12240" w:h="15840"/>
          <w:pgMar w:top="580" w:bottom="280" w:left="1440" w:right="1440"/>
        </w:sectPr>
      </w:pPr>
    </w:p>
    <w:p>
      <w:pPr>
        <w:spacing w:before="96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5"/>
          <w:sz w:val="20"/>
        </w:rPr>
        <w:t> </w:t>
      </w:r>
      <w:r>
        <w:rPr>
          <w:color w:val="6E6158"/>
          <w:sz w:val="19"/>
        </w:rPr>
        <w:t>Commercial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Litigation,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2024-</w:t>
      </w:r>
      <w:r>
        <w:rPr>
          <w:color w:val="6E6158"/>
          <w:spacing w:val="-4"/>
          <w:sz w:val="19"/>
        </w:rPr>
        <w:t>2027</w:t>
      </w:r>
    </w:p>
    <w:p>
      <w:pPr>
        <w:pStyle w:val="BodyText"/>
        <w:spacing w:before="161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rPr>
          <w:b/>
        </w:rPr>
      </w:pPr>
    </w:p>
    <w:p>
      <w:pPr>
        <w:pStyle w:val="BodyText"/>
        <w:ind w:left="99"/>
      </w:pPr>
      <w:r>
        <w:rPr>
          <w:color w:val="6E6158"/>
        </w:rPr>
        <w:t>Featuring,</w:t>
      </w:r>
      <w:r>
        <w:rPr>
          <w:color w:val="6E6158"/>
          <w:spacing w:val="9"/>
        </w:rPr>
        <w:t> </w:t>
      </w:r>
      <w:r>
        <w:rPr>
          <w:color w:val="6E6158"/>
        </w:rPr>
        <w:t>“On</w:t>
      </w:r>
      <w:r>
        <w:rPr>
          <w:color w:val="6E6158"/>
          <w:spacing w:val="10"/>
        </w:rPr>
        <w:t> </w:t>
      </w:r>
      <w:r>
        <w:rPr>
          <w:color w:val="6E6158"/>
        </w:rPr>
        <w:t>the</w:t>
      </w:r>
      <w:r>
        <w:rPr>
          <w:color w:val="6E6158"/>
          <w:spacing w:val="10"/>
        </w:rPr>
        <w:t> </w:t>
      </w:r>
      <w:r>
        <w:rPr>
          <w:color w:val="6E6158"/>
        </w:rPr>
        <w:t>Move,”</w:t>
      </w:r>
      <w:r>
        <w:rPr>
          <w:color w:val="6E6158"/>
          <w:spacing w:val="10"/>
        </w:rPr>
        <w:t> </w:t>
      </w:r>
      <w:r>
        <w:rPr>
          <w:color w:val="6E6158"/>
        </w:rPr>
        <w:t>Las</w:t>
      </w:r>
      <w:r>
        <w:rPr>
          <w:color w:val="6E6158"/>
          <w:spacing w:val="10"/>
        </w:rPr>
        <w:t> </w:t>
      </w:r>
      <w:r>
        <w:rPr>
          <w:color w:val="6E6158"/>
        </w:rPr>
        <w:t>Vegas</w:t>
      </w:r>
      <w:r>
        <w:rPr>
          <w:color w:val="6E6158"/>
          <w:spacing w:val="10"/>
        </w:rPr>
        <w:t> </w:t>
      </w:r>
      <w:r>
        <w:rPr>
          <w:color w:val="6E6158"/>
        </w:rPr>
        <w:t>Business</w:t>
      </w:r>
      <w:r>
        <w:rPr>
          <w:color w:val="6E6158"/>
          <w:spacing w:val="10"/>
        </w:rPr>
        <w:t> </w:t>
      </w:r>
      <w:r>
        <w:rPr>
          <w:color w:val="6E6158"/>
        </w:rPr>
        <w:t>Press,</w:t>
      </w:r>
      <w:r>
        <w:rPr>
          <w:color w:val="6E6158"/>
          <w:spacing w:val="10"/>
        </w:rPr>
        <w:t> </w:t>
      </w:r>
      <w:r>
        <w:rPr>
          <w:color w:val="6E6158"/>
        </w:rPr>
        <w:t>November</w:t>
      </w:r>
      <w:r>
        <w:rPr>
          <w:color w:val="6E6158"/>
          <w:spacing w:val="10"/>
        </w:rPr>
        <w:t> </w:t>
      </w:r>
      <w:r>
        <w:rPr>
          <w:color w:val="6E6158"/>
        </w:rPr>
        <w:t>1,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2022</w:t>
      </w:r>
    </w:p>
    <w:p>
      <w:pPr>
        <w:spacing w:line="288" w:lineRule="auto" w:before="172"/>
        <w:ind w:left="99" w:right="427" w:firstLine="0"/>
        <w:jc w:val="left"/>
        <w:rPr>
          <w:sz w:val="19"/>
        </w:rPr>
      </w:pPr>
      <w:r>
        <w:rPr>
          <w:i/>
          <w:color w:val="6E6158"/>
          <w:sz w:val="20"/>
        </w:rPr>
        <w:t>Proving</w:t>
      </w:r>
      <w:r>
        <w:rPr>
          <w:i/>
          <w:color w:val="6E6158"/>
          <w:spacing w:val="-14"/>
          <w:sz w:val="20"/>
        </w:rPr>
        <w:t> </w:t>
      </w:r>
      <w:r>
        <w:rPr>
          <w:i/>
          <w:color w:val="6E6158"/>
          <w:sz w:val="20"/>
        </w:rPr>
        <w:t>the</w:t>
      </w:r>
      <w:r>
        <w:rPr>
          <w:i/>
          <w:color w:val="6E6158"/>
          <w:spacing w:val="-14"/>
          <w:sz w:val="20"/>
        </w:rPr>
        <w:t> </w:t>
      </w:r>
      <w:r>
        <w:rPr>
          <w:i/>
          <w:color w:val="6E6158"/>
          <w:sz w:val="20"/>
        </w:rPr>
        <w:t>Constitution:</w:t>
      </w:r>
      <w:r>
        <w:rPr>
          <w:i/>
          <w:color w:val="6E6158"/>
          <w:spacing w:val="-14"/>
          <w:sz w:val="20"/>
        </w:rPr>
        <w:t> </w:t>
      </w:r>
      <w:r>
        <w:rPr>
          <w:i/>
          <w:color w:val="6E6158"/>
          <w:sz w:val="20"/>
        </w:rPr>
        <w:t>Burdens</w:t>
      </w:r>
      <w:r>
        <w:rPr>
          <w:i/>
          <w:color w:val="6E6158"/>
          <w:spacing w:val="-14"/>
          <w:sz w:val="20"/>
        </w:rPr>
        <w:t> </w:t>
      </w:r>
      <w:r>
        <w:rPr>
          <w:i/>
          <w:color w:val="6E6158"/>
          <w:sz w:val="20"/>
        </w:rPr>
        <w:t>of</w:t>
      </w:r>
      <w:r>
        <w:rPr>
          <w:i/>
          <w:color w:val="6E6158"/>
          <w:spacing w:val="-14"/>
          <w:sz w:val="20"/>
        </w:rPr>
        <w:t> </w:t>
      </w:r>
      <w:r>
        <w:rPr>
          <w:i/>
          <w:color w:val="6E6158"/>
          <w:sz w:val="20"/>
        </w:rPr>
        <w:t>Proof</w:t>
      </w:r>
      <w:r>
        <w:rPr>
          <w:i/>
          <w:color w:val="6E6158"/>
          <w:spacing w:val="-14"/>
          <w:sz w:val="20"/>
        </w:rPr>
        <w:t> </w:t>
      </w:r>
      <w:r>
        <w:rPr>
          <w:i/>
          <w:color w:val="6E6158"/>
          <w:sz w:val="20"/>
        </w:rPr>
        <w:t>and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the</w:t>
      </w:r>
      <w:r>
        <w:rPr>
          <w:i/>
          <w:color w:val="6E6158"/>
          <w:spacing w:val="-14"/>
          <w:sz w:val="20"/>
        </w:rPr>
        <w:t> </w:t>
      </w:r>
      <w:r>
        <w:rPr>
          <w:i/>
          <w:color w:val="6E6158"/>
          <w:sz w:val="20"/>
        </w:rPr>
        <w:t>Confrontation</w:t>
      </w:r>
      <w:r>
        <w:rPr>
          <w:i/>
          <w:color w:val="6E6158"/>
          <w:spacing w:val="-14"/>
          <w:sz w:val="20"/>
        </w:rPr>
        <w:t> </w:t>
      </w:r>
      <w:r>
        <w:rPr>
          <w:i/>
          <w:color w:val="6E6158"/>
          <w:sz w:val="20"/>
        </w:rPr>
        <w:t>Clause</w:t>
      </w:r>
      <w:r>
        <w:rPr>
          <w:color w:val="6E6158"/>
          <w:sz w:val="19"/>
        </w:rPr>
        <w:t>,</w:t>
      </w:r>
      <w:r>
        <w:rPr>
          <w:color w:val="6E6158"/>
          <w:spacing w:val="-13"/>
          <w:sz w:val="19"/>
        </w:rPr>
        <w:t> </w:t>
      </w:r>
      <w:r>
        <w:rPr>
          <w:color w:val="6E6158"/>
          <w:sz w:val="19"/>
        </w:rPr>
        <w:t>55</w:t>
      </w:r>
      <w:r>
        <w:rPr>
          <w:color w:val="6E6158"/>
          <w:spacing w:val="-13"/>
          <w:sz w:val="19"/>
        </w:rPr>
        <w:t> </w:t>
      </w:r>
      <w:r>
        <w:rPr>
          <w:color w:val="6E6158"/>
          <w:sz w:val="19"/>
        </w:rPr>
        <w:t>University</w:t>
      </w:r>
      <w:r>
        <w:rPr>
          <w:color w:val="6E6158"/>
          <w:spacing w:val="-13"/>
          <w:sz w:val="19"/>
        </w:rPr>
        <w:t> </w:t>
      </w:r>
      <w:r>
        <w:rPr>
          <w:color w:val="6E6158"/>
          <w:sz w:val="19"/>
        </w:rPr>
        <w:t>of Richmond Law Review 491, 2021</w:t>
      </w:r>
    </w:p>
    <w:p>
      <w:pPr>
        <w:spacing w:line="288" w:lineRule="auto" w:before="118"/>
        <w:ind w:left="99" w:right="227" w:firstLine="0"/>
        <w:jc w:val="left"/>
        <w:rPr>
          <w:sz w:val="19"/>
        </w:rPr>
      </w:pPr>
      <w:r>
        <w:rPr>
          <w:i/>
          <w:color w:val="6E6158"/>
          <w:spacing w:val="-2"/>
          <w:sz w:val="20"/>
        </w:rPr>
        <w:t>What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pacing w:val="-2"/>
          <w:sz w:val="20"/>
        </w:rPr>
        <w:t>the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pacing w:val="-2"/>
          <w:sz w:val="20"/>
        </w:rPr>
        <w:t>Heller?: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pacing w:val="-2"/>
          <w:sz w:val="20"/>
        </w:rPr>
        <w:t>An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pacing w:val="-2"/>
          <w:sz w:val="20"/>
        </w:rPr>
        <w:t>Originalist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pacing w:val="-2"/>
          <w:sz w:val="20"/>
        </w:rPr>
        <w:t>Critique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pacing w:val="-2"/>
          <w:sz w:val="20"/>
        </w:rPr>
        <w:t>of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pacing w:val="-2"/>
          <w:sz w:val="20"/>
        </w:rPr>
        <w:t>Justice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pacing w:val="-2"/>
          <w:sz w:val="20"/>
        </w:rPr>
        <w:t>Scalia’s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pacing w:val="-2"/>
          <w:sz w:val="20"/>
        </w:rPr>
        <w:t>Second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pacing w:val="-2"/>
          <w:sz w:val="20"/>
        </w:rPr>
        <w:t>Amendment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pacing w:val="-2"/>
          <w:sz w:val="20"/>
        </w:rPr>
        <w:t>Jurisprudence</w:t>
      </w:r>
      <w:r>
        <w:rPr>
          <w:color w:val="6E6158"/>
          <w:spacing w:val="-2"/>
          <w:sz w:val="19"/>
        </w:rPr>
        <w:t>, </w:t>
      </w:r>
      <w:r>
        <w:rPr>
          <w:color w:val="6E6158"/>
          <w:sz w:val="19"/>
        </w:rPr>
        <w:t>82 University of Cincinnati Law Review 795, 2014</w:t>
      </w:r>
    </w:p>
    <w:p>
      <w:pPr>
        <w:spacing w:line="278" w:lineRule="auto" w:before="126"/>
        <w:ind w:left="99" w:right="427" w:firstLine="0"/>
        <w:jc w:val="left"/>
        <w:rPr>
          <w:sz w:val="19"/>
        </w:rPr>
      </w:pPr>
      <w:r>
        <w:rPr>
          <w:i/>
          <w:color w:val="6E6158"/>
          <w:sz w:val="20"/>
        </w:rPr>
        <w:t>A</w:t>
      </w:r>
      <w:r>
        <w:rPr>
          <w:i/>
          <w:color w:val="6E6158"/>
          <w:spacing w:val="-14"/>
          <w:sz w:val="20"/>
        </w:rPr>
        <w:t> </w:t>
      </w:r>
      <w:r>
        <w:rPr>
          <w:i/>
          <w:color w:val="6E6158"/>
          <w:sz w:val="20"/>
        </w:rPr>
        <w:t>Rose</w:t>
      </w:r>
      <w:r>
        <w:rPr>
          <w:i/>
          <w:color w:val="6E6158"/>
          <w:spacing w:val="-14"/>
          <w:sz w:val="20"/>
        </w:rPr>
        <w:t> </w:t>
      </w:r>
      <w:r>
        <w:rPr>
          <w:i/>
          <w:color w:val="6E6158"/>
          <w:sz w:val="20"/>
        </w:rPr>
        <w:t>by</w:t>
      </w:r>
      <w:r>
        <w:rPr>
          <w:i/>
          <w:color w:val="6E6158"/>
          <w:spacing w:val="-14"/>
          <w:sz w:val="20"/>
        </w:rPr>
        <w:t> </w:t>
      </w:r>
      <w:r>
        <w:rPr>
          <w:i/>
          <w:color w:val="6E6158"/>
          <w:sz w:val="20"/>
        </w:rPr>
        <w:t>Any</w:t>
      </w:r>
      <w:r>
        <w:rPr>
          <w:i/>
          <w:color w:val="6E6158"/>
          <w:spacing w:val="-14"/>
          <w:sz w:val="20"/>
        </w:rPr>
        <w:t> </w:t>
      </w:r>
      <w:r>
        <w:rPr>
          <w:i/>
          <w:color w:val="6E6158"/>
          <w:sz w:val="20"/>
        </w:rPr>
        <w:t>Other</w:t>
      </w:r>
      <w:r>
        <w:rPr>
          <w:i/>
          <w:color w:val="6E6158"/>
          <w:spacing w:val="-14"/>
          <w:sz w:val="20"/>
        </w:rPr>
        <w:t> </w:t>
      </w:r>
      <w:r>
        <w:rPr>
          <w:i/>
          <w:color w:val="6E6158"/>
          <w:sz w:val="20"/>
        </w:rPr>
        <w:t>Name:</w:t>
      </w:r>
      <w:r>
        <w:rPr>
          <w:i/>
          <w:color w:val="6E6158"/>
          <w:spacing w:val="-14"/>
          <w:sz w:val="20"/>
        </w:rPr>
        <w:t> </w:t>
      </w:r>
      <w:r>
        <w:rPr>
          <w:i/>
          <w:color w:val="6E6158"/>
          <w:sz w:val="20"/>
        </w:rPr>
        <w:t>Why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a</w:t>
      </w:r>
      <w:r>
        <w:rPr>
          <w:i/>
          <w:color w:val="6E6158"/>
          <w:spacing w:val="-14"/>
          <w:sz w:val="20"/>
        </w:rPr>
        <w:t> </w:t>
      </w:r>
      <w:r>
        <w:rPr>
          <w:i/>
          <w:color w:val="6E6158"/>
          <w:sz w:val="20"/>
        </w:rPr>
        <w:t>Parens</w:t>
      </w:r>
      <w:r>
        <w:rPr>
          <w:i/>
          <w:color w:val="6E6158"/>
          <w:spacing w:val="-14"/>
          <w:sz w:val="20"/>
        </w:rPr>
        <w:t> </w:t>
      </w:r>
      <w:r>
        <w:rPr>
          <w:i/>
          <w:color w:val="6E6158"/>
          <w:sz w:val="20"/>
        </w:rPr>
        <w:t>Patriae</w:t>
      </w:r>
      <w:r>
        <w:rPr>
          <w:i/>
          <w:color w:val="6E6158"/>
          <w:spacing w:val="-14"/>
          <w:sz w:val="20"/>
        </w:rPr>
        <w:t> </w:t>
      </w:r>
      <w:r>
        <w:rPr>
          <w:i/>
          <w:color w:val="6E6158"/>
          <w:sz w:val="20"/>
        </w:rPr>
        <w:t>Action</w:t>
      </w:r>
      <w:r>
        <w:rPr>
          <w:i/>
          <w:color w:val="6E6158"/>
          <w:spacing w:val="-14"/>
          <w:sz w:val="20"/>
        </w:rPr>
        <w:t> </w:t>
      </w:r>
      <w:r>
        <w:rPr>
          <w:i/>
          <w:color w:val="6E6158"/>
          <w:sz w:val="20"/>
        </w:rPr>
        <w:t>Can</w:t>
      </w:r>
      <w:r>
        <w:rPr>
          <w:i/>
          <w:color w:val="6E6158"/>
          <w:spacing w:val="-14"/>
          <w:sz w:val="20"/>
        </w:rPr>
        <w:t> </w:t>
      </w:r>
      <w:r>
        <w:rPr>
          <w:i/>
          <w:color w:val="6E6158"/>
          <w:sz w:val="20"/>
        </w:rPr>
        <w:t>Be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a</w:t>
      </w:r>
      <w:r>
        <w:rPr>
          <w:i/>
          <w:color w:val="6E6158"/>
          <w:spacing w:val="-14"/>
          <w:sz w:val="20"/>
        </w:rPr>
        <w:t> </w:t>
      </w:r>
      <w:r>
        <w:rPr>
          <w:i/>
          <w:color w:val="6E6158"/>
          <w:sz w:val="20"/>
        </w:rPr>
        <w:t>“Mass</w:t>
      </w:r>
      <w:r>
        <w:rPr>
          <w:i/>
          <w:color w:val="6E6158"/>
          <w:spacing w:val="-14"/>
          <w:sz w:val="20"/>
        </w:rPr>
        <w:t> </w:t>
      </w:r>
      <w:r>
        <w:rPr>
          <w:i/>
          <w:color w:val="6E6158"/>
          <w:sz w:val="20"/>
        </w:rPr>
        <w:t>Action”</w:t>
      </w:r>
      <w:r>
        <w:rPr>
          <w:i/>
          <w:color w:val="6E6158"/>
          <w:spacing w:val="-14"/>
          <w:sz w:val="20"/>
        </w:rPr>
        <w:t> </w:t>
      </w:r>
      <w:r>
        <w:rPr>
          <w:i/>
          <w:color w:val="6E6158"/>
          <w:sz w:val="20"/>
        </w:rPr>
        <w:t>under</w:t>
      </w:r>
      <w:r>
        <w:rPr>
          <w:i/>
          <w:color w:val="6E6158"/>
          <w:spacing w:val="-14"/>
          <w:sz w:val="20"/>
        </w:rPr>
        <w:t> </w:t>
      </w:r>
      <w:r>
        <w:rPr>
          <w:i/>
          <w:color w:val="6E6158"/>
          <w:sz w:val="20"/>
        </w:rPr>
        <w:t>the</w:t>
      </w:r>
      <w:r>
        <w:rPr>
          <w:i/>
          <w:color w:val="6E6158"/>
          <w:sz w:val="20"/>
        </w:rPr>
        <w:t> Class Action Fairness Act of 2005</w:t>
      </w:r>
      <w:r>
        <w:rPr>
          <w:color w:val="6E6158"/>
          <w:sz w:val="19"/>
        </w:rPr>
        <w:t>, 6 N.Y.U. Journal of Legislation &amp; Public Policy 39, 2013</w:t>
      </w:r>
    </w:p>
    <w:p>
      <w:pPr>
        <w:spacing w:line="288" w:lineRule="auto" w:before="123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Intragroup</w:t>
      </w:r>
      <w:r>
        <w:rPr>
          <w:i/>
          <w:color w:val="6E6158"/>
          <w:spacing w:val="-12"/>
          <w:sz w:val="20"/>
        </w:rPr>
        <w:t> </w:t>
      </w:r>
      <w:r>
        <w:rPr>
          <w:i/>
          <w:color w:val="6E6158"/>
          <w:sz w:val="20"/>
        </w:rPr>
        <w:t>Discrimination</w:t>
      </w:r>
      <w:r>
        <w:rPr>
          <w:i/>
          <w:color w:val="6E6158"/>
          <w:spacing w:val="-12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12"/>
          <w:sz w:val="20"/>
        </w:rPr>
        <w:t> </w:t>
      </w:r>
      <w:r>
        <w:rPr>
          <w:i/>
          <w:color w:val="6E6158"/>
          <w:sz w:val="20"/>
        </w:rPr>
        <w:t>the</w:t>
      </w:r>
      <w:r>
        <w:rPr>
          <w:i/>
          <w:color w:val="6E6158"/>
          <w:spacing w:val="-12"/>
          <w:sz w:val="20"/>
        </w:rPr>
        <w:t> </w:t>
      </w:r>
      <w:r>
        <w:rPr>
          <w:i/>
          <w:color w:val="6E6158"/>
          <w:sz w:val="20"/>
        </w:rPr>
        <w:t>Workplace:</w:t>
      </w:r>
      <w:r>
        <w:rPr>
          <w:i/>
          <w:color w:val="6E6158"/>
          <w:spacing w:val="-12"/>
          <w:sz w:val="20"/>
        </w:rPr>
        <w:t> </w:t>
      </w:r>
      <w:r>
        <w:rPr>
          <w:i/>
          <w:color w:val="6E6158"/>
          <w:sz w:val="20"/>
        </w:rPr>
        <w:t>The</w:t>
      </w:r>
      <w:r>
        <w:rPr>
          <w:i/>
          <w:color w:val="6E6158"/>
          <w:spacing w:val="-12"/>
          <w:sz w:val="20"/>
        </w:rPr>
        <w:t> </w:t>
      </w:r>
      <w:r>
        <w:rPr>
          <w:i/>
          <w:color w:val="6E6158"/>
          <w:sz w:val="20"/>
        </w:rPr>
        <w:t>Case</w:t>
      </w:r>
      <w:r>
        <w:rPr>
          <w:i/>
          <w:color w:val="6E6158"/>
          <w:spacing w:val="-12"/>
          <w:sz w:val="20"/>
        </w:rPr>
        <w:t> </w:t>
      </w:r>
      <w:r>
        <w:rPr>
          <w:i/>
          <w:color w:val="6E6158"/>
          <w:sz w:val="20"/>
        </w:rPr>
        <w:t>for</w:t>
      </w:r>
      <w:r>
        <w:rPr>
          <w:i/>
          <w:color w:val="6E6158"/>
          <w:spacing w:val="-12"/>
          <w:sz w:val="20"/>
        </w:rPr>
        <w:t> </w:t>
      </w:r>
      <w:r>
        <w:rPr>
          <w:i/>
          <w:color w:val="6E6158"/>
          <w:sz w:val="20"/>
        </w:rPr>
        <w:t>“Race</w:t>
      </w:r>
      <w:r>
        <w:rPr>
          <w:i/>
          <w:color w:val="6E6158"/>
          <w:spacing w:val="-12"/>
          <w:sz w:val="20"/>
        </w:rPr>
        <w:t> </w:t>
      </w:r>
      <w:r>
        <w:rPr>
          <w:i/>
          <w:color w:val="6E6158"/>
          <w:sz w:val="20"/>
        </w:rPr>
        <w:t>Plus,”</w:t>
      </w:r>
      <w:r>
        <w:rPr>
          <w:i/>
          <w:color w:val="6E6158"/>
          <w:spacing w:val="-12"/>
          <w:sz w:val="20"/>
        </w:rPr>
        <w:t> </w:t>
      </w:r>
      <w:r>
        <w:rPr>
          <w:color w:val="6E6158"/>
          <w:sz w:val="19"/>
        </w:rPr>
        <w:t>45</w:t>
      </w:r>
      <w:r>
        <w:rPr>
          <w:color w:val="6E6158"/>
          <w:spacing w:val="-9"/>
          <w:sz w:val="19"/>
        </w:rPr>
        <w:t> </w:t>
      </w:r>
      <w:r>
        <w:rPr>
          <w:color w:val="6E6158"/>
          <w:sz w:val="19"/>
        </w:rPr>
        <w:t>Harvard</w:t>
      </w:r>
      <w:r>
        <w:rPr>
          <w:color w:val="6E6158"/>
          <w:spacing w:val="-9"/>
          <w:sz w:val="19"/>
        </w:rPr>
        <w:t> </w:t>
      </w:r>
      <w:r>
        <w:rPr>
          <w:color w:val="6E6158"/>
          <w:sz w:val="19"/>
        </w:rPr>
        <w:t>Civil</w:t>
      </w:r>
      <w:r>
        <w:rPr>
          <w:color w:val="6E6158"/>
          <w:spacing w:val="-9"/>
          <w:sz w:val="19"/>
        </w:rPr>
        <w:t> </w:t>
      </w:r>
      <w:r>
        <w:rPr>
          <w:color w:val="6E6158"/>
          <w:sz w:val="19"/>
        </w:rPr>
        <w:t>Rights–Civil Liberties Law Review 57, 2010</w:t>
      </w:r>
    </w:p>
    <w:p>
      <w:pPr>
        <w:spacing w:line="288" w:lineRule="auto" w:before="126"/>
        <w:ind w:left="99" w:right="111" w:firstLine="0"/>
        <w:jc w:val="left"/>
        <w:rPr>
          <w:sz w:val="19"/>
        </w:rPr>
      </w:pPr>
      <w:r>
        <w:rPr>
          <w:i/>
          <w:color w:val="6E6158"/>
          <w:sz w:val="20"/>
        </w:rPr>
        <w:t>Liability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Robotics: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An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International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Perspective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on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Robots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as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Animals</w:t>
      </w:r>
      <w:r>
        <w:rPr>
          <w:color w:val="6E6158"/>
          <w:sz w:val="19"/>
        </w:rPr>
        <w:t>,</w:t>
      </w:r>
      <w:r>
        <w:rPr>
          <w:color w:val="6E6158"/>
          <w:spacing w:val="-8"/>
          <w:sz w:val="19"/>
        </w:rPr>
        <w:t> </w:t>
      </w:r>
      <w:r>
        <w:rPr>
          <w:color w:val="6E6158"/>
          <w:sz w:val="19"/>
        </w:rPr>
        <w:t>Advanced</w:t>
      </w:r>
      <w:r>
        <w:rPr>
          <w:color w:val="6E6158"/>
          <w:spacing w:val="-8"/>
          <w:sz w:val="19"/>
        </w:rPr>
        <w:t> </w:t>
      </w:r>
      <w:r>
        <w:rPr>
          <w:color w:val="6E6158"/>
          <w:sz w:val="19"/>
        </w:rPr>
        <w:t>Robotics,</w:t>
      </w:r>
      <w:r>
        <w:rPr>
          <w:color w:val="6E6158"/>
          <w:spacing w:val="-8"/>
          <w:sz w:val="19"/>
        </w:rPr>
        <w:t> </w:t>
      </w:r>
      <w:r>
        <w:rPr>
          <w:color w:val="6E6158"/>
          <w:sz w:val="19"/>
        </w:rPr>
        <w:t>2010 (co-authored with Richard C. Kelley, Monica Nicolescu, and Micaela Gomez)</w:t>
      </w:r>
    </w:p>
    <w:p>
      <w:pPr>
        <w:spacing w:line="295" w:lineRule="auto" w:before="118"/>
        <w:ind w:left="99" w:right="403" w:firstLine="0"/>
        <w:jc w:val="left"/>
        <w:rPr>
          <w:sz w:val="19"/>
        </w:rPr>
      </w:pPr>
      <w:r>
        <w:rPr>
          <w:i/>
          <w:color w:val="6E6158"/>
          <w:sz w:val="20"/>
        </w:rPr>
        <w:t>Robots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as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Animals: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A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Framework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for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Liability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and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Responsibility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Human-Robot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Interactions</w:t>
      </w:r>
      <w:r>
        <w:rPr>
          <w:color w:val="6E6158"/>
          <w:sz w:val="19"/>
        </w:rPr>
        <w:t>, Proceedings of the 18th IEEE Symposium on Robot &amp; Human Interactive Communication, </w:t>
      </w:r>
      <w:r>
        <w:rPr>
          <w:color w:val="6E6158"/>
          <w:sz w:val="19"/>
        </w:rPr>
        <w:t>2009</w:t>
      </w:r>
      <w:r>
        <w:rPr>
          <w:color w:val="6E6158"/>
          <w:spacing w:val="40"/>
          <w:sz w:val="19"/>
        </w:rPr>
        <w:t> </w:t>
      </w:r>
      <w:r>
        <w:rPr>
          <w:color w:val="6E6158"/>
          <w:sz w:val="19"/>
        </w:rPr>
        <w:t>(co-authored with Richard C. Kelley and Monica Nicolescu)</w:t>
      </w:r>
    </w:p>
    <w:p>
      <w:pPr>
        <w:pStyle w:val="BodyText"/>
        <w:spacing w:before="109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420" w:lineRule="auto"/>
        <w:ind w:left="99" w:right="1506"/>
      </w:pPr>
      <w:r>
        <w:rPr>
          <w:color w:val="6E6158"/>
        </w:rPr>
        <w:t>Part-Time Olin-Searle Fellow, Federalist Society, UCLA Law School, 2016-</w:t>
      </w:r>
      <w:r>
        <w:rPr>
          <w:color w:val="6E6158"/>
        </w:rPr>
        <w:t>2019 Member, Executive Committee, Yale Law School Association, 2011-2014</w:t>
      </w:r>
    </w:p>
    <w:p>
      <w:pPr>
        <w:pStyle w:val="BodyText"/>
        <w:spacing w:before="6"/>
        <w:ind w:left="99"/>
      </w:pPr>
      <w:r>
        <w:rPr>
          <w:color w:val="6E6158"/>
        </w:rPr>
        <w:t>Member,</w:t>
      </w:r>
      <w:r>
        <w:rPr>
          <w:color w:val="6E6158"/>
          <w:spacing w:val="11"/>
        </w:rPr>
        <w:t> </w:t>
      </w:r>
      <w:r>
        <w:rPr>
          <w:color w:val="6E6158"/>
        </w:rPr>
        <w:t>College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Arts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Letters</w:t>
      </w:r>
      <w:r>
        <w:rPr>
          <w:color w:val="6E6158"/>
          <w:spacing w:val="11"/>
        </w:rPr>
        <w:t> </w:t>
      </w:r>
      <w:r>
        <w:rPr>
          <w:color w:val="6E6158"/>
        </w:rPr>
        <w:t>Advisory</w:t>
      </w:r>
      <w:r>
        <w:rPr>
          <w:color w:val="6E6158"/>
          <w:spacing w:val="11"/>
        </w:rPr>
        <w:t> </w:t>
      </w:r>
      <w:r>
        <w:rPr>
          <w:color w:val="6E6158"/>
        </w:rPr>
        <w:t>Council,</w:t>
      </w:r>
      <w:r>
        <w:rPr>
          <w:color w:val="6E6158"/>
          <w:spacing w:val="11"/>
        </w:rPr>
        <w:t> </w:t>
      </w:r>
      <w:r>
        <w:rPr>
          <w:color w:val="6E6158"/>
        </w:rPr>
        <w:t>University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Notre</w:t>
      </w:r>
      <w:r>
        <w:rPr>
          <w:color w:val="6E6158"/>
          <w:spacing w:val="11"/>
        </w:rPr>
        <w:t> </w:t>
      </w:r>
      <w:r>
        <w:rPr>
          <w:color w:val="6E6158"/>
        </w:rPr>
        <w:t>Dame,</w:t>
      </w:r>
      <w:r>
        <w:rPr>
          <w:color w:val="6E6158"/>
          <w:spacing w:val="11"/>
        </w:rPr>
        <w:t> </w:t>
      </w:r>
      <w:r>
        <w:rPr>
          <w:color w:val="6E6158"/>
        </w:rPr>
        <w:t>2009-</w:t>
      </w:r>
      <w:r>
        <w:rPr>
          <w:color w:val="6E6158"/>
          <w:spacing w:val="-4"/>
        </w:rPr>
        <w:t>2012</w:t>
      </w:r>
    </w:p>
    <w:p>
      <w:pPr>
        <w:pStyle w:val="BodyText"/>
        <w:spacing w:before="163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99"/>
      </w:pPr>
      <w:r>
        <w:rPr>
          <w:color w:val="6E6158"/>
        </w:rPr>
        <w:t>All</w:t>
      </w:r>
      <w:r>
        <w:rPr>
          <w:color w:val="6E6158"/>
          <w:spacing w:val="12"/>
        </w:rPr>
        <w:t> </w:t>
      </w:r>
      <w:r>
        <w:rPr>
          <w:color w:val="6E6158"/>
        </w:rPr>
        <w:t>Nevada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California</w:t>
      </w:r>
      <w:r>
        <w:rPr>
          <w:color w:val="6E6158"/>
          <w:spacing w:val="13"/>
        </w:rPr>
        <w:t> </w:t>
      </w:r>
      <w:r>
        <w:rPr>
          <w:color w:val="6E6158"/>
        </w:rPr>
        <w:t>state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courts</w:t>
      </w:r>
    </w:p>
    <w:p>
      <w:pPr>
        <w:pStyle w:val="BodyText"/>
        <w:spacing w:before="174"/>
        <w:ind w:left="99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Supreme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Court</w:t>
      </w:r>
    </w:p>
    <w:p>
      <w:pPr>
        <w:pStyle w:val="BodyText"/>
        <w:spacing w:before="182"/>
        <w:ind w:left="99"/>
      </w:pPr>
      <w:r>
        <w:rPr>
          <w:color w:val="6E6158"/>
        </w:rPr>
        <w:t>U.S.</w:t>
      </w:r>
      <w:r>
        <w:rPr>
          <w:color w:val="6E6158"/>
          <w:spacing w:val="9"/>
        </w:rPr>
        <w:t> </w:t>
      </w:r>
      <w:r>
        <w:rPr>
          <w:color w:val="6E6158"/>
        </w:rPr>
        <w:t>Court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Appeals</w:t>
      </w:r>
      <w:r>
        <w:rPr>
          <w:color w:val="6E6158"/>
          <w:spacing w:val="9"/>
        </w:rPr>
        <w:t> </w:t>
      </w:r>
      <w:r>
        <w:rPr>
          <w:color w:val="6E6158"/>
        </w:rPr>
        <w:t>for</w:t>
      </w:r>
      <w:r>
        <w:rPr>
          <w:color w:val="6E6158"/>
          <w:spacing w:val="9"/>
        </w:rPr>
        <w:t> </w:t>
      </w:r>
      <w:r>
        <w:rPr>
          <w:color w:val="6E6158"/>
        </w:rPr>
        <w:t>the</w:t>
      </w:r>
      <w:r>
        <w:rPr>
          <w:color w:val="6E6158"/>
          <w:spacing w:val="9"/>
        </w:rPr>
        <w:t> </w:t>
      </w:r>
      <w:r>
        <w:rPr>
          <w:color w:val="6E6158"/>
        </w:rPr>
        <w:t>Ninth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74"/>
        <w:ind w:left="99"/>
      </w:pPr>
      <w:r>
        <w:rPr>
          <w:color w:val="6E6158"/>
        </w:rPr>
        <w:t>U.S.</w:t>
      </w:r>
      <w:r>
        <w:rPr>
          <w:color w:val="6E6158"/>
          <w:spacing w:val="9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9"/>
        </w:rPr>
        <w:t> </w:t>
      </w:r>
      <w:r>
        <w:rPr>
          <w:color w:val="6E6158"/>
        </w:rPr>
        <w:t>for</w:t>
      </w:r>
      <w:r>
        <w:rPr>
          <w:color w:val="6E6158"/>
          <w:spacing w:val="10"/>
        </w:rPr>
        <w:t> </w:t>
      </w:r>
      <w:r>
        <w:rPr>
          <w:color w:val="6E6158"/>
        </w:rPr>
        <w:t>the</w:t>
      </w:r>
      <w:r>
        <w:rPr>
          <w:color w:val="6E6158"/>
          <w:spacing w:val="10"/>
        </w:rPr>
        <w:t> </w:t>
      </w:r>
      <w:r>
        <w:rPr>
          <w:color w:val="6E6158"/>
        </w:rPr>
        <w:t>Central</w:t>
      </w:r>
      <w:r>
        <w:rPr>
          <w:color w:val="6E6158"/>
          <w:spacing w:val="9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before="174"/>
        <w:ind w:left="99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1"/>
        </w:rPr>
        <w:t> </w:t>
      </w:r>
      <w:r>
        <w:rPr>
          <w:color w:val="6E6158"/>
        </w:rPr>
        <w:t>for</w:t>
      </w:r>
      <w:r>
        <w:rPr>
          <w:color w:val="6E6158"/>
          <w:spacing w:val="10"/>
        </w:rPr>
        <w:t> </w:t>
      </w:r>
      <w:r>
        <w:rPr>
          <w:color w:val="6E6158"/>
        </w:rPr>
        <w:t>the</w:t>
      </w:r>
      <w:r>
        <w:rPr>
          <w:color w:val="6E6158"/>
          <w:spacing w:val="11"/>
        </w:rPr>
        <w:t> </w:t>
      </w:r>
      <w:r>
        <w:rPr>
          <w:color w:val="6E6158"/>
        </w:rPr>
        <w:t>Southern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before="174"/>
        <w:ind w:left="99"/>
      </w:pPr>
      <w:r>
        <w:rPr>
          <w:color w:val="6E6158"/>
        </w:rPr>
        <w:t>U.S.</w:t>
      </w:r>
      <w:r>
        <w:rPr>
          <w:color w:val="6E6158"/>
          <w:spacing w:val="8"/>
        </w:rPr>
        <w:t> </w:t>
      </w:r>
      <w:r>
        <w:rPr>
          <w:color w:val="6E6158"/>
        </w:rPr>
        <w:t>District</w:t>
      </w:r>
      <w:r>
        <w:rPr>
          <w:color w:val="6E6158"/>
          <w:spacing w:val="9"/>
        </w:rPr>
        <w:t> </w:t>
      </w:r>
      <w:r>
        <w:rPr>
          <w:color w:val="6E6158"/>
        </w:rPr>
        <w:t>Court</w:t>
      </w:r>
      <w:r>
        <w:rPr>
          <w:color w:val="6E6158"/>
          <w:spacing w:val="9"/>
        </w:rPr>
        <w:t> </w:t>
      </w:r>
      <w:r>
        <w:rPr>
          <w:color w:val="6E6158"/>
        </w:rPr>
        <w:t>for</w:t>
      </w:r>
      <w:r>
        <w:rPr>
          <w:color w:val="6E6158"/>
          <w:spacing w:val="9"/>
        </w:rPr>
        <w:t> </w:t>
      </w:r>
      <w:r>
        <w:rPr>
          <w:color w:val="6E6158"/>
        </w:rPr>
        <w:t>the</w:t>
      </w:r>
      <w:r>
        <w:rPr>
          <w:color w:val="6E6158"/>
          <w:spacing w:val="9"/>
        </w:rPr>
        <w:t> </w:t>
      </w:r>
      <w:r>
        <w:rPr>
          <w:color w:val="6E6158"/>
        </w:rPr>
        <w:t>District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Nevada</w:t>
      </w:r>
    </w:p>
    <w:p>
      <w:pPr>
        <w:pStyle w:val="BodyText"/>
        <w:spacing w:before="171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LANGUAGES</w:t>
      </w:r>
    </w:p>
    <w:p>
      <w:pPr>
        <w:pStyle w:val="BodyText"/>
        <w:spacing w:before="27"/>
        <w:rPr>
          <w:b/>
        </w:rPr>
      </w:pPr>
    </w:p>
    <w:p>
      <w:pPr>
        <w:pStyle w:val="BodyText"/>
        <w:ind w:left="99"/>
      </w:pPr>
      <w:r>
        <w:rPr>
          <w:color w:val="6E6158"/>
        </w:rPr>
        <w:t>Spanish,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Fluent</w:t>
      </w:r>
    </w:p>
    <w:p>
      <w:pPr>
        <w:pStyle w:val="BodyText"/>
        <w:spacing w:before="174"/>
        <w:ind w:left="99"/>
      </w:pPr>
      <w:r>
        <w:rPr>
          <w:color w:val="6E6158"/>
        </w:rPr>
        <w:t>Italian,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Conversational</w:t>
      </w:r>
    </w:p>
    <w:sectPr>
      <w:pgSz w:w="12240" w:h="15840"/>
      <w:pgMar w:top="4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las-vegas/" TargetMode="External"/><Relationship Id="rId10" Type="http://schemas.openxmlformats.org/officeDocument/2006/relationships/hyperlink" Target="https://www.fennemorelaw.com/contact-us/reno/" TargetMode="External"/><Relationship Id="rId11" Type="http://schemas.openxmlformats.org/officeDocument/2006/relationships/hyperlink" Target="mailto:eschaerer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Enrique Schaerer - Fennemore</dc:title>
  <dcterms:created xsi:type="dcterms:W3CDTF">2026-08-20T19:18:42Z</dcterms:created>
  <dcterms:modified xsi:type="dcterms:W3CDTF">2026-08-20T19:18:42Z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2026-08-20T00:00:00Z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2026-08-20T00:00:00Z</vt:filetime>
  </property>
  <property fmtid="{D5CDD505-2E9C-101B-9397-08002B2CF9AE}" pid="6" name="Producer">
    <vt:lpwstr>Skia/PDF m151</vt:lpwstr>
  </property>
</Properties>
</file>