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42"/>
        </w:rPr>
      </w:pPr>
    </w:p>
    <w:p>
      <w:pPr>
        <w:pStyle w:val="BodyText"/>
        <w:spacing w:before="413"/>
        <w:ind w:left="0"/>
        <w:rPr>
          <w:rFonts w:ascii="Times New Roman"/>
          <w:sz w:val="42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8752">
                <wp:simplePos x="0" y="0"/>
                <wp:positionH relativeFrom="page">
                  <wp:posOffset>848486</wp:posOffset>
                </wp:positionH>
                <wp:positionV relativeFrom="paragraph">
                  <wp:posOffset>-878787</wp:posOffset>
                </wp:positionV>
                <wp:extent cx="6071870" cy="490918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909185"/>
                          <a:chExt cx="6071870" cy="49091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738675"/>
                            <a:ext cx="6071870" cy="217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2170430">
                                <a:moveTo>
                                  <a:pt x="6071591" y="2170271"/>
                                </a:moveTo>
                                <a:lnTo>
                                  <a:pt x="0" y="2170271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21702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bankruptcy lawyer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6071591" cy="2469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268700"/>
                            <a:ext cx="6071870" cy="247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2470150">
                                <a:moveTo>
                                  <a:pt x="6071591" y="2469975"/>
                                </a:moveTo>
                                <a:lnTo>
                                  <a:pt x="0" y="2469975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2469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>
                              <a:alpha val="819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69.1959pt;width:478.1pt;height:386.55pt;mso-position-horizontal-relative:page;mso-position-vertical-relative:paragraph;z-index:-15817728" id="docshapegroup1" coordorigin="1336,-1384" coordsize="9562,7731">
                <v:rect style="position:absolute;left:1336;top:2928;width:9562;height:3418" id="docshape2" filled="true" fillcolor="#002e6d" stroked="false">
                  <v:fill type="solid"/>
                </v:rect>
                <v:shape style="position:absolute;left:1336;top:-1384;width:2165;height:424" type="#_x0000_t75" id="docshape3" alt="Fennemore" href="https://www.fennemorelaw.com/" stroked="false">
                  <v:imagedata r:id="rId5" o:title=""/>
                </v:shape>
                <v:shape style="position:absolute;left:1336;top:-961;width:9562;height:3890" type="#_x0000_t75" id="docshape4" alt="bankruptcy lawyer" stroked="false">
                  <v:imagedata r:id="rId7" o:title=""/>
                </v:shape>
                <v:rect style="position:absolute;left:1336;top:-961;width:9562;height:3890" id="docshape5" filled="true" fillcolor="#262424" stroked="false">
                  <v:fill opacity="53713f" type="solid"/>
                </v:rect>
                <w10:wrap type="none"/>
              </v:group>
            </w:pict>
          </mc:Fallback>
        </mc:AlternateContent>
      </w:r>
      <w:r>
        <w:rPr>
          <w:color w:val="FFFFFF"/>
        </w:rPr>
        <w:t>Bankruptcy, Creditors’ Rights &amp; </w:t>
      </w:r>
      <w:r>
        <w:rPr>
          <w:color w:val="FFFFFF"/>
          <w:spacing w:val="-2"/>
        </w:rPr>
        <w:t>Insolvency</w:t>
      </w:r>
    </w:p>
    <w:p>
      <w:pPr>
        <w:pStyle w:val="BodyText"/>
        <w:spacing w:before="90"/>
        <w:ind w:left="0"/>
        <w:rPr>
          <w:b/>
          <w:sz w:val="42"/>
        </w:rPr>
      </w:pPr>
    </w:p>
    <w:p>
      <w:pPr>
        <w:spacing w:line="242" w:lineRule="auto" w:before="1"/>
        <w:ind w:left="721" w:right="726" w:firstLine="0"/>
        <w:jc w:val="center"/>
        <w:rPr>
          <w:sz w:val="22"/>
        </w:rPr>
      </w:pPr>
      <w:r>
        <w:rPr>
          <w:color w:val="FFFFFF"/>
          <w:w w:val="105"/>
          <w:sz w:val="22"/>
        </w:rPr>
        <w:t>One</w:t>
      </w:r>
      <w:r>
        <w:rPr>
          <w:color w:val="FFFFFF"/>
          <w:spacing w:val="-15"/>
          <w:w w:val="105"/>
          <w:sz w:val="22"/>
        </w:rPr>
        <w:t> </w:t>
      </w:r>
      <w:r>
        <w:rPr>
          <w:color w:val="FFFFFF"/>
          <w:w w:val="105"/>
          <w:sz w:val="22"/>
        </w:rPr>
        <w:t>of</w:t>
      </w:r>
      <w:r>
        <w:rPr>
          <w:color w:val="FFFFFF"/>
          <w:spacing w:val="-15"/>
          <w:w w:val="105"/>
          <w:sz w:val="22"/>
        </w:rPr>
        <w:t> </w:t>
      </w:r>
      <w:r>
        <w:rPr>
          <w:color w:val="FFFFFF"/>
          <w:w w:val="105"/>
          <w:sz w:val="22"/>
        </w:rPr>
        <w:t>the</w:t>
      </w:r>
      <w:r>
        <w:rPr>
          <w:color w:val="FFFFFF"/>
          <w:spacing w:val="-15"/>
          <w:w w:val="105"/>
          <w:sz w:val="22"/>
        </w:rPr>
        <w:t> </w:t>
      </w:r>
      <w:r>
        <w:rPr>
          <w:color w:val="FFFFFF"/>
          <w:w w:val="105"/>
          <w:sz w:val="22"/>
        </w:rPr>
        <w:t>largest</w:t>
      </w:r>
      <w:r>
        <w:rPr>
          <w:color w:val="FFFFFF"/>
          <w:spacing w:val="-15"/>
          <w:w w:val="105"/>
          <w:sz w:val="22"/>
        </w:rPr>
        <w:t> </w:t>
      </w:r>
      <w:r>
        <w:rPr>
          <w:color w:val="FFFFFF"/>
          <w:w w:val="105"/>
          <w:sz w:val="22"/>
        </w:rPr>
        <w:t>and</w:t>
      </w:r>
      <w:r>
        <w:rPr>
          <w:color w:val="FFFFFF"/>
          <w:spacing w:val="-15"/>
          <w:w w:val="105"/>
          <w:sz w:val="22"/>
        </w:rPr>
        <w:t> </w:t>
      </w:r>
      <w:r>
        <w:rPr>
          <w:color w:val="FFFFFF"/>
          <w:w w:val="105"/>
          <w:sz w:val="22"/>
        </w:rPr>
        <w:t>most</w:t>
      </w:r>
      <w:r>
        <w:rPr>
          <w:color w:val="FFFFFF"/>
          <w:spacing w:val="-15"/>
          <w:w w:val="105"/>
          <w:sz w:val="22"/>
        </w:rPr>
        <w:t> </w:t>
      </w:r>
      <w:r>
        <w:rPr>
          <w:color w:val="FFFFFF"/>
          <w:w w:val="105"/>
          <w:sz w:val="22"/>
        </w:rPr>
        <w:t>active</w:t>
      </w:r>
      <w:r>
        <w:rPr>
          <w:color w:val="FFFFFF"/>
          <w:spacing w:val="-15"/>
          <w:w w:val="105"/>
          <w:sz w:val="22"/>
        </w:rPr>
        <w:t> </w:t>
      </w:r>
      <w:r>
        <w:rPr>
          <w:color w:val="FFFFFF"/>
          <w:w w:val="105"/>
          <w:sz w:val="22"/>
        </w:rPr>
        <w:t>bankruptcy</w:t>
      </w:r>
      <w:r>
        <w:rPr>
          <w:color w:val="FFFFFF"/>
          <w:spacing w:val="-15"/>
          <w:w w:val="105"/>
          <w:sz w:val="22"/>
        </w:rPr>
        <w:t> </w:t>
      </w:r>
      <w:r>
        <w:rPr>
          <w:color w:val="FFFFFF"/>
          <w:w w:val="105"/>
          <w:sz w:val="22"/>
        </w:rPr>
        <w:t>and</w:t>
      </w:r>
      <w:r>
        <w:rPr>
          <w:color w:val="FFFFFF"/>
          <w:spacing w:val="-15"/>
          <w:w w:val="105"/>
          <w:sz w:val="22"/>
        </w:rPr>
        <w:t> </w:t>
      </w:r>
      <w:r>
        <w:rPr>
          <w:color w:val="FFFFFF"/>
          <w:w w:val="105"/>
          <w:sz w:val="22"/>
        </w:rPr>
        <w:t>creditors’</w:t>
      </w:r>
      <w:r>
        <w:rPr>
          <w:color w:val="FFFFFF"/>
          <w:spacing w:val="-15"/>
          <w:w w:val="105"/>
          <w:sz w:val="22"/>
        </w:rPr>
        <w:t> </w:t>
      </w:r>
      <w:r>
        <w:rPr>
          <w:color w:val="FFFFFF"/>
          <w:w w:val="105"/>
          <w:sz w:val="22"/>
        </w:rPr>
        <w:t>rights legal</w:t>
      </w:r>
      <w:r>
        <w:rPr>
          <w:color w:val="FFFFFF"/>
          <w:spacing w:val="-13"/>
          <w:w w:val="105"/>
          <w:sz w:val="22"/>
        </w:rPr>
        <w:t> </w:t>
      </w:r>
      <w:r>
        <w:rPr>
          <w:color w:val="FFFFFF"/>
          <w:w w:val="105"/>
          <w:sz w:val="22"/>
        </w:rPr>
        <w:t>practices</w:t>
      </w:r>
      <w:r>
        <w:rPr>
          <w:color w:val="FFFFFF"/>
          <w:spacing w:val="-13"/>
          <w:w w:val="105"/>
          <w:sz w:val="22"/>
        </w:rPr>
        <w:t> </w:t>
      </w:r>
      <w:r>
        <w:rPr>
          <w:color w:val="FFFFFF"/>
          <w:w w:val="105"/>
          <w:sz w:val="22"/>
        </w:rPr>
        <w:t>in</w:t>
      </w:r>
      <w:r>
        <w:rPr>
          <w:color w:val="FFFFFF"/>
          <w:spacing w:val="-13"/>
          <w:w w:val="105"/>
          <w:sz w:val="22"/>
        </w:rPr>
        <w:t> </w:t>
      </w:r>
      <w:r>
        <w:rPr>
          <w:color w:val="FFFFFF"/>
          <w:w w:val="105"/>
          <w:sz w:val="22"/>
        </w:rPr>
        <w:t>the</w:t>
      </w:r>
      <w:r>
        <w:rPr>
          <w:color w:val="FFFFFF"/>
          <w:spacing w:val="-13"/>
          <w:w w:val="105"/>
          <w:sz w:val="22"/>
        </w:rPr>
        <w:t> </w:t>
      </w:r>
      <w:r>
        <w:rPr>
          <w:color w:val="FFFFFF"/>
          <w:w w:val="105"/>
          <w:sz w:val="22"/>
        </w:rPr>
        <w:t>Southwest</w:t>
      </w:r>
      <w:r>
        <w:rPr>
          <w:color w:val="FFFFFF"/>
          <w:spacing w:val="-13"/>
          <w:w w:val="105"/>
          <w:sz w:val="22"/>
        </w:rPr>
        <w:t> </w:t>
      </w:r>
      <w:r>
        <w:rPr>
          <w:color w:val="FFFFFF"/>
          <w:w w:val="105"/>
          <w:sz w:val="22"/>
        </w:rPr>
        <w:t>and</w:t>
      </w:r>
      <w:r>
        <w:rPr>
          <w:color w:val="FFFFFF"/>
          <w:spacing w:val="-13"/>
          <w:w w:val="105"/>
          <w:sz w:val="22"/>
        </w:rPr>
        <w:t> </w:t>
      </w:r>
      <w:r>
        <w:rPr>
          <w:color w:val="FFFFFF"/>
          <w:w w:val="105"/>
          <w:sz w:val="22"/>
        </w:rPr>
        <w:t>California,</w:t>
      </w:r>
      <w:r>
        <w:rPr>
          <w:color w:val="FFFFFF"/>
          <w:spacing w:val="-13"/>
          <w:w w:val="105"/>
          <w:sz w:val="22"/>
        </w:rPr>
        <w:t> </w:t>
      </w:r>
      <w:r>
        <w:rPr>
          <w:color w:val="FFFFFF"/>
          <w:w w:val="105"/>
          <w:sz w:val="22"/>
        </w:rPr>
        <w:t>representing</w:t>
      </w:r>
      <w:r>
        <w:rPr>
          <w:color w:val="FFFFFF"/>
          <w:spacing w:val="-13"/>
          <w:w w:val="105"/>
          <w:sz w:val="22"/>
        </w:rPr>
        <w:t> </w:t>
      </w:r>
      <w:r>
        <w:rPr>
          <w:color w:val="FFFFFF"/>
          <w:w w:val="105"/>
          <w:sz w:val="22"/>
        </w:rPr>
        <w:t>clients locally, regionally, and nationally.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25"/>
        <w:ind w:left="0"/>
        <w:rPr>
          <w:sz w:val="22"/>
        </w:rPr>
      </w:pPr>
    </w:p>
    <w:p>
      <w:pPr>
        <w:spacing w:line="348" w:lineRule="auto" w:before="0"/>
        <w:ind w:left="996" w:right="995" w:firstLine="0"/>
        <w:jc w:val="center"/>
        <w:rPr>
          <w:sz w:val="16"/>
        </w:rPr>
      </w:pPr>
      <w:r>
        <w:rPr>
          <w:color w:val="FFFFFF"/>
          <w:spacing w:val="-2"/>
          <w:sz w:val="16"/>
        </w:rPr>
        <w:t>Our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bankruptcy,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creditors’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rights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&amp;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onsolvency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attorneys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represent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a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wide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range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of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clients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- financial</w:t>
      </w:r>
      <w:r>
        <w:rPr>
          <w:color w:val="FFFFFF"/>
          <w:spacing w:val="-12"/>
          <w:sz w:val="16"/>
        </w:rPr>
        <w:t> </w:t>
      </w:r>
      <w:r>
        <w:rPr>
          <w:color w:val="FFFFFF"/>
          <w:spacing w:val="-2"/>
          <w:sz w:val="16"/>
        </w:rPr>
        <w:t>institutions,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secured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and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unsecured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creditors,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insolvency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committees,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municipalities, borrowers,</w:t>
      </w:r>
      <w:r>
        <w:rPr>
          <w:color w:val="FFFFFF"/>
          <w:spacing w:val="-12"/>
          <w:sz w:val="16"/>
        </w:rPr>
        <w:t> </w:t>
      </w:r>
      <w:r>
        <w:rPr>
          <w:color w:val="FFFFFF"/>
          <w:spacing w:val="-2"/>
          <w:sz w:val="16"/>
        </w:rPr>
        <w:t>debtors,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bankruptcy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trustees,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landlords,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owner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associations,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purchasers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of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financially </w:t>
      </w:r>
      <w:r>
        <w:rPr>
          <w:color w:val="FFFFFF"/>
          <w:spacing w:val="-4"/>
          <w:sz w:val="16"/>
        </w:rPr>
        <w:t>distressed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businesses.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These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default,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insolvency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and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bankruptcy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law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representations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take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place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in </w:t>
      </w:r>
      <w:r>
        <w:rPr>
          <w:color w:val="FFFFFF"/>
          <w:spacing w:val="-2"/>
          <w:sz w:val="16"/>
        </w:rPr>
        <w:t>state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and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federal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courts,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Chapter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11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cases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in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bankruptcy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courts,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debt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restructuring,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liquidation </w:t>
      </w:r>
      <w:r>
        <w:rPr>
          <w:color w:val="FFFFFF"/>
          <w:spacing w:val="-4"/>
          <w:sz w:val="16"/>
        </w:rPr>
        <w:t>cases, out-of-court workouts, asset recovery, foreclosure actions and other related proceedings.</w:t>
      </w:r>
    </w:p>
    <w:p>
      <w:pPr>
        <w:spacing w:line="348" w:lineRule="auto" w:before="2"/>
        <w:ind w:left="996" w:right="995" w:firstLine="0"/>
        <w:jc w:val="center"/>
        <w:rPr>
          <w:sz w:val="16"/>
        </w:rPr>
      </w:pPr>
      <w:r>
        <w:rPr>
          <w:color w:val="FFFFFF"/>
          <w:spacing w:val="-4"/>
          <w:sz w:val="16"/>
        </w:rPr>
        <w:t>Together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with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attorneys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from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other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disciplines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in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the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firm,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our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financial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restructuring,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creditors’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rights </w:t>
      </w:r>
      <w:r>
        <w:rPr>
          <w:color w:val="FFFFFF"/>
          <w:spacing w:val="-2"/>
          <w:sz w:val="16"/>
        </w:rPr>
        <w:t>and</w:t>
      </w:r>
      <w:r>
        <w:rPr>
          <w:color w:val="FFFFFF"/>
          <w:spacing w:val="-5"/>
          <w:sz w:val="16"/>
        </w:rPr>
        <w:t> </w:t>
      </w:r>
      <w:r>
        <w:rPr>
          <w:color w:val="FFFFFF"/>
          <w:spacing w:val="-2"/>
          <w:sz w:val="16"/>
        </w:rPr>
        <w:t>bankruptcy</w:t>
      </w:r>
      <w:r>
        <w:rPr>
          <w:color w:val="FFFFFF"/>
          <w:spacing w:val="-5"/>
          <w:sz w:val="16"/>
        </w:rPr>
        <w:t> </w:t>
      </w:r>
      <w:r>
        <w:rPr>
          <w:color w:val="FFFFFF"/>
          <w:spacing w:val="-2"/>
          <w:sz w:val="16"/>
        </w:rPr>
        <w:t>lawyers</w:t>
      </w:r>
      <w:r>
        <w:rPr>
          <w:color w:val="FFFFFF"/>
          <w:spacing w:val="-5"/>
          <w:sz w:val="16"/>
        </w:rPr>
        <w:t> </w:t>
      </w:r>
      <w:r>
        <w:rPr>
          <w:color w:val="FFFFFF"/>
          <w:spacing w:val="-2"/>
          <w:sz w:val="16"/>
        </w:rPr>
        <w:t>plan</w:t>
      </w:r>
      <w:r>
        <w:rPr>
          <w:color w:val="FFFFFF"/>
          <w:spacing w:val="-5"/>
          <w:sz w:val="16"/>
        </w:rPr>
        <w:t> </w:t>
      </w:r>
      <w:r>
        <w:rPr>
          <w:color w:val="FFFFFF"/>
          <w:spacing w:val="-2"/>
          <w:sz w:val="16"/>
        </w:rPr>
        <w:t>and</w:t>
      </w:r>
      <w:r>
        <w:rPr>
          <w:color w:val="FFFFFF"/>
          <w:spacing w:val="-5"/>
          <w:sz w:val="16"/>
        </w:rPr>
        <w:t> </w:t>
      </w:r>
      <w:r>
        <w:rPr>
          <w:color w:val="FFFFFF"/>
          <w:spacing w:val="-2"/>
          <w:sz w:val="16"/>
        </w:rPr>
        <w:t>negotiate</w:t>
      </w:r>
      <w:r>
        <w:rPr>
          <w:color w:val="FFFFFF"/>
          <w:spacing w:val="-5"/>
          <w:sz w:val="16"/>
        </w:rPr>
        <w:t> </w:t>
      </w:r>
      <w:r>
        <w:rPr>
          <w:color w:val="FFFFFF"/>
          <w:spacing w:val="-2"/>
          <w:sz w:val="16"/>
        </w:rPr>
        <w:t>complex</w:t>
      </w:r>
      <w:r>
        <w:rPr>
          <w:color w:val="FFFFFF"/>
          <w:spacing w:val="-5"/>
          <w:sz w:val="16"/>
        </w:rPr>
        <w:t> </w:t>
      </w:r>
      <w:r>
        <w:rPr>
          <w:color w:val="FFFFFF"/>
          <w:spacing w:val="-2"/>
          <w:sz w:val="16"/>
        </w:rPr>
        <w:t>workouts</w:t>
      </w:r>
      <w:r>
        <w:rPr>
          <w:color w:val="FFFFFF"/>
          <w:spacing w:val="-5"/>
          <w:sz w:val="16"/>
        </w:rPr>
        <w:t> </w:t>
      </w:r>
      <w:r>
        <w:rPr>
          <w:color w:val="FFFFFF"/>
          <w:spacing w:val="-2"/>
          <w:sz w:val="16"/>
        </w:rPr>
        <w:t>and</w:t>
      </w:r>
      <w:r>
        <w:rPr>
          <w:color w:val="FFFFFF"/>
          <w:spacing w:val="-5"/>
          <w:sz w:val="16"/>
        </w:rPr>
        <w:t> </w:t>
      </w:r>
      <w:r>
        <w:rPr>
          <w:color w:val="FFFFFF"/>
          <w:spacing w:val="-2"/>
          <w:sz w:val="16"/>
        </w:rPr>
        <w:t>restructures.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120"/>
        <w:ind w:left="0"/>
        <w:rPr>
          <w:sz w:val="16"/>
        </w:rPr>
      </w:pPr>
    </w:p>
    <w:p>
      <w:pPr>
        <w:pStyle w:val="Heading3"/>
      </w:pPr>
      <w:r>
        <w:rPr>
          <w:color w:val="002E6B"/>
          <w:spacing w:val="-2"/>
        </w:rPr>
        <w:t>LEADERSHIP</w:t>
      </w:r>
    </w:p>
    <w:p>
      <w:pPr>
        <w:pStyle w:val="BodyText"/>
        <w:spacing w:before="8"/>
        <w:ind w:left="0"/>
        <w:rPr>
          <w:b/>
          <w:sz w:val="14"/>
        </w:rPr>
      </w:pPr>
    </w:p>
    <w:p>
      <w:pPr>
        <w:pStyle w:val="BodyText"/>
        <w:spacing w:after="0"/>
        <w:rPr>
          <w:b/>
          <w:sz w:val="14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spacing w:line="218" w:lineRule="auto" w:before="118"/>
        <w:ind w:left="3167" w:right="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1313545</wp:posOffset>
            </wp:positionH>
            <wp:positionV relativeFrom="paragraph">
              <wp:posOffset>43948</wp:posOffset>
            </wp:positionV>
            <wp:extent cx="1395174" cy="1395174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174" cy="1395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>
        <w:r>
          <w:rPr>
            <w:spacing w:val="-2"/>
            <w:sz w:val="16"/>
          </w:rPr>
          <w:t>BANKRUPTCY,</w:t>
        </w:r>
      </w:hyperlink>
      <w:r>
        <w:rPr>
          <w:spacing w:val="-2"/>
          <w:sz w:val="16"/>
        </w:rPr>
        <w:t> </w:t>
      </w:r>
      <w:hyperlink r:id="rId9">
        <w:r>
          <w:rPr>
            <w:spacing w:val="-2"/>
            <w:sz w:val="16"/>
          </w:rPr>
          <w:t>CREDITORS’</w:t>
        </w:r>
      </w:hyperlink>
      <w:r>
        <w:rPr>
          <w:spacing w:val="-2"/>
          <w:sz w:val="16"/>
        </w:rPr>
        <w:t> </w:t>
      </w:r>
      <w:hyperlink r:id="rId9">
        <w:r>
          <w:rPr>
            <w:sz w:val="16"/>
          </w:rPr>
          <w:t>RIGHTS &amp;</w:t>
        </w:r>
      </w:hyperlink>
      <w:r>
        <w:rPr>
          <w:sz w:val="16"/>
        </w:rPr>
        <w:t> </w:t>
      </w:r>
      <w:hyperlink r:id="rId9">
        <w:r>
          <w:rPr>
            <w:spacing w:val="-2"/>
            <w:sz w:val="16"/>
          </w:rPr>
          <w:t>INSOLVENCY</w:t>
        </w:r>
      </w:hyperlink>
    </w:p>
    <w:p>
      <w:pPr>
        <w:pStyle w:val="BodyText"/>
        <w:spacing w:before="50"/>
        <w:ind w:left="0"/>
        <w:rPr>
          <w:sz w:val="16"/>
        </w:rPr>
      </w:pPr>
    </w:p>
    <w:p>
      <w:pPr>
        <w:spacing w:line="218" w:lineRule="auto" w:before="0"/>
        <w:ind w:left="3167" w:right="0" w:firstLine="0"/>
        <w:jc w:val="left"/>
        <w:rPr>
          <w:sz w:val="16"/>
        </w:rPr>
      </w:pPr>
      <w:hyperlink r:id="rId10">
        <w:r>
          <w:rPr>
            <w:spacing w:val="-2"/>
            <w:sz w:val="16"/>
          </w:rPr>
          <w:t>BUSINESS</w:t>
        </w:r>
      </w:hyperlink>
      <w:r>
        <w:rPr>
          <w:spacing w:val="-2"/>
          <w:sz w:val="16"/>
        </w:rPr>
        <w:t> </w:t>
      </w:r>
      <w:hyperlink r:id="rId10">
        <w:r>
          <w:rPr>
            <w:spacing w:val="-2"/>
            <w:sz w:val="16"/>
          </w:rPr>
          <w:t>LITIGATION</w:t>
        </w:r>
      </w:hyperlink>
    </w:p>
    <w:p>
      <w:pPr>
        <w:pStyle w:val="BodyText"/>
        <w:spacing w:before="53"/>
        <w:ind w:left="0"/>
        <w:rPr>
          <w:sz w:val="16"/>
        </w:rPr>
      </w:pPr>
    </w:p>
    <w:p>
      <w:pPr>
        <w:spacing w:line="199" w:lineRule="auto" w:before="0"/>
        <w:ind w:left="3167" w:right="437" w:firstLine="0"/>
        <w:jc w:val="left"/>
        <w:rPr>
          <w:b/>
          <w:sz w:val="16"/>
        </w:rPr>
      </w:pPr>
      <w:hyperlink r:id="rId11">
        <w:r>
          <w:rPr>
            <w:b/>
            <w:sz w:val="16"/>
          </w:rPr>
          <w:t>Anthony</w:t>
        </w:r>
        <w:r>
          <w:rPr>
            <w:b/>
            <w:spacing w:val="-12"/>
            <w:sz w:val="16"/>
          </w:rPr>
          <w:t> </w:t>
        </w:r>
        <w:r>
          <w:rPr>
            <w:b/>
            <w:sz w:val="16"/>
          </w:rPr>
          <w:t>W.</w:t>
        </w:r>
      </w:hyperlink>
      <w:r>
        <w:rPr>
          <w:b/>
          <w:sz w:val="16"/>
        </w:rPr>
        <w:t> </w:t>
      </w:r>
      <w:hyperlink r:id="rId11">
        <w:r>
          <w:rPr>
            <w:b/>
            <w:spacing w:val="-2"/>
            <w:sz w:val="16"/>
          </w:rPr>
          <w:t>Austin</w:t>
        </w:r>
      </w:hyperlink>
    </w:p>
    <w:p>
      <w:pPr>
        <w:spacing w:line="144" w:lineRule="exact" w:before="0"/>
        <w:ind w:left="3167" w:right="0" w:firstLine="0"/>
        <w:jc w:val="left"/>
        <w:rPr>
          <w:sz w:val="12"/>
        </w:rPr>
      </w:pPr>
      <w:r>
        <w:rPr>
          <w:color w:val="6E6158"/>
          <w:spacing w:val="-4"/>
          <w:sz w:val="12"/>
        </w:rPr>
        <w:t>Chair</w:t>
      </w:r>
    </w:p>
    <w:p>
      <w:pPr>
        <w:spacing w:before="73"/>
        <w:ind w:left="3167" w:right="0" w:firstLine="0"/>
        <w:jc w:val="left"/>
        <w:rPr>
          <w:b/>
          <w:sz w:val="12"/>
        </w:rPr>
      </w:pPr>
      <w:hyperlink r:id="rId12">
        <w:r>
          <w:rPr>
            <w:b/>
            <w:spacing w:val="-2"/>
            <w:sz w:val="12"/>
          </w:rPr>
          <w:t>Phoenix</w:t>
        </w:r>
      </w:hyperlink>
    </w:p>
    <w:p>
      <w:pPr>
        <w:spacing w:before="16"/>
        <w:ind w:left="3167" w:right="0" w:firstLine="0"/>
        <w:jc w:val="left"/>
        <w:rPr>
          <w:sz w:val="12"/>
        </w:rPr>
      </w:pPr>
      <w:r>
        <w:rPr>
          <w:color w:val="6E6158"/>
          <w:sz w:val="12"/>
        </w:rPr>
        <w:t>PH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602.916.5347</w:t>
      </w:r>
    </w:p>
    <w:p>
      <w:pPr>
        <w:spacing w:before="7"/>
        <w:ind w:left="3167" w:right="0" w:firstLine="0"/>
        <w:jc w:val="left"/>
        <w:rPr>
          <w:sz w:val="12"/>
        </w:rPr>
      </w:pPr>
      <w:r>
        <w:rPr>
          <w:color w:val="6E6158"/>
          <w:sz w:val="12"/>
        </w:rPr>
        <w:t>FX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602.916.5547</w:t>
      </w:r>
    </w:p>
    <w:p>
      <w:pPr>
        <w:spacing w:line="266" w:lineRule="auto" w:before="16"/>
        <w:ind w:left="3167" w:right="0" w:firstLine="0"/>
        <w:jc w:val="left"/>
        <w:rPr>
          <w:sz w:val="12"/>
        </w:rPr>
      </w:pPr>
      <w:hyperlink r:id="rId13">
        <w:r>
          <w:rPr>
            <w:color w:val="002E6B"/>
            <w:spacing w:val="-2"/>
            <w:sz w:val="12"/>
            <w:u w:val="single" w:color="002E6B"/>
          </w:rPr>
          <w:t>aaustin@fennemorela</w:t>
        </w:r>
      </w:hyperlink>
      <w:r>
        <w:rPr>
          <w:color w:val="002E6B"/>
          <w:spacing w:val="40"/>
          <w:sz w:val="12"/>
          <w:u w:val="none"/>
        </w:rPr>
        <w:t> </w:t>
      </w:r>
      <w:hyperlink r:id="rId13">
        <w:r>
          <w:rPr>
            <w:color w:val="002E6B"/>
            <w:spacing w:val="-2"/>
            <w:sz w:val="12"/>
            <w:u w:val="single" w:color="002E6B"/>
          </w:rPr>
          <w:t>w.com</w:t>
        </w:r>
      </w:hyperlink>
    </w:p>
    <w:p>
      <w:pPr>
        <w:spacing w:line="218" w:lineRule="auto" w:before="118"/>
        <w:ind w:left="3163" w:right="135" w:firstLine="0"/>
        <w:jc w:val="left"/>
        <w:rPr>
          <w:sz w:val="16"/>
        </w:rPr>
      </w:pPr>
      <w:r>
        <w:rPr/>
        <w:br w:type="column"/>
      </w:r>
      <w:hyperlink r:id="rId9">
        <w:r>
          <w:rPr>
            <w:spacing w:val="-2"/>
            <w:sz w:val="16"/>
          </w:rPr>
          <w:t>BANKRUPTCY,</w:t>
        </w:r>
      </w:hyperlink>
      <w:r>
        <w:rPr>
          <w:spacing w:val="-2"/>
          <w:sz w:val="16"/>
        </w:rPr>
        <w:t> </w:t>
      </w:r>
      <w:hyperlink r:id="rId9">
        <w:r>
          <w:rPr>
            <w:spacing w:val="-2"/>
            <w:sz w:val="16"/>
          </w:rPr>
          <w:t>CREDITORS’</w:t>
        </w:r>
      </w:hyperlink>
      <w:r>
        <w:rPr>
          <w:spacing w:val="-2"/>
          <w:sz w:val="16"/>
        </w:rPr>
        <w:t> </w:t>
      </w:r>
      <w:hyperlink r:id="rId9">
        <w:r>
          <w:rPr>
            <w:sz w:val="16"/>
          </w:rPr>
          <w:t>RIGHTS &amp;</w:t>
        </w:r>
      </w:hyperlink>
      <w:r>
        <w:rPr>
          <w:sz w:val="16"/>
        </w:rPr>
        <w:t> </w:t>
      </w:r>
      <w:hyperlink r:id="rId9">
        <w:r>
          <w:rPr>
            <w:spacing w:val="-2"/>
            <w:sz w:val="16"/>
          </w:rPr>
          <w:t>INSOLVENCY</w:t>
        </w:r>
      </w:hyperlink>
    </w:p>
    <w:p>
      <w:pPr>
        <w:pStyle w:val="BodyText"/>
        <w:spacing w:before="50"/>
        <w:ind w:left="0"/>
        <w:rPr>
          <w:sz w:val="16"/>
        </w:rPr>
      </w:pPr>
    </w:p>
    <w:p>
      <w:pPr>
        <w:spacing w:line="218" w:lineRule="auto" w:before="0"/>
        <w:ind w:left="3163" w:right="135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4274415</wp:posOffset>
            </wp:positionH>
            <wp:positionV relativeFrom="paragraph">
              <wp:posOffset>-640732</wp:posOffset>
            </wp:positionV>
            <wp:extent cx="1395174" cy="1395174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174" cy="1395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5">
        <w:r>
          <w:rPr>
            <w:sz w:val="16"/>
          </w:rPr>
          <w:t>BUSINESS</w:t>
        </w:r>
        <w:r>
          <w:rPr>
            <w:spacing w:val="-12"/>
            <w:sz w:val="16"/>
          </w:rPr>
          <w:t> </w:t>
        </w:r>
        <w:r>
          <w:rPr>
            <w:sz w:val="16"/>
          </w:rPr>
          <w:t>&amp;</w:t>
        </w:r>
      </w:hyperlink>
      <w:r>
        <w:rPr>
          <w:sz w:val="16"/>
        </w:rPr>
        <w:t> </w:t>
      </w:r>
      <w:hyperlink r:id="rId15">
        <w:r>
          <w:rPr>
            <w:spacing w:val="-2"/>
            <w:sz w:val="16"/>
          </w:rPr>
          <w:t>FINANCE</w:t>
        </w:r>
      </w:hyperlink>
    </w:p>
    <w:p>
      <w:pPr>
        <w:pStyle w:val="BodyText"/>
        <w:spacing w:before="53"/>
        <w:ind w:left="0"/>
        <w:rPr>
          <w:sz w:val="16"/>
        </w:rPr>
      </w:pPr>
    </w:p>
    <w:p>
      <w:pPr>
        <w:spacing w:line="199" w:lineRule="auto" w:before="0"/>
        <w:ind w:left="3163" w:right="135" w:firstLine="0"/>
        <w:jc w:val="left"/>
        <w:rPr>
          <w:b/>
          <w:sz w:val="16"/>
        </w:rPr>
      </w:pPr>
      <w:hyperlink r:id="rId16">
        <w:r>
          <w:rPr>
            <w:b/>
            <w:sz w:val="16"/>
          </w:rPr>
          <w:t>Christopher</w:t>
        </w:r>
        <w:r>
          <w:rPr>
            <w:b/>
            <w:spacing w:val="-12"/>
            <w:sz w:val="16"/>
          </w:rPr>
          <w:t> </w:t>
        </w:r>
        <w:r>
          <w:rPr>
            <w:b/>
            <w:sz w:val="16"/>
          </w:rPr>
          <w:t>V.</w:t>
        </w:r>
      </w:hyperlink>
      <w:r>
        <w:rPr>
          <w:b/>
          <w:sz w:val="16"/>
        </w:rPr>
        <w:t> </w:t>
      </w:r>
      <w:hyperlink r:id="rId16">
        <w:r>
          <w:rPr>
            <w:b/>
            <w:spacing w:val="-2"/>
            <w:sz w:val="16"/>
          </w:rPr>
          <w:t>Hawkins</w:t>
        </w:r>
      </w:hyperlink>
    </w:p>
    <w:p>
      <w:pPr>
        <w:spacing w:line="144" w:lineRule="exact" w:before="0"/>
        <w:ind w:left="3163" w:right="0" w:firstLine="0"/>
        <w:jc w:val="left"/>
        <w:rPr>
          <w:sz w:val="12"/>
        </w:rPr>
      </w:pPr>
      <w:r>
        <w:rPr>
          <w:color w:val="6E6158"/>
          <w:sz w:val="12"/>
        </w:rPr>
        <w:t>Vice</w:t>
      </w:r>
      <w:r>
        <w:rPr>
          <w:color w:val="6E6158"/>
          <w:spacing w:val="2"/>
          <w:sz w:val="12"/>
        </w:rPr>
        <w:t> </w:t>
      </w:r>
      <w:r>
        <w:rPr>
          <w:color w:val="6E6158"/>
          <w:spacing w:val="-2"/>
          <w:sz w:val="12"/>
        </w:rPr>
        <w:t>Chair</w:t>
      </w:r>
    </w:p>
    <w:p>
      <w:pPr>
        <w:spacing w:before="73"/>
        <w:ind w:left="3163" w:right="0" w:firstLine="0"/>
        <w:jc w:val="left"/>
        <w:rPr>
          <w:b/>
          <w:sz w:val="12"/>
        </w:rPr>
      </w:pPr>
      <w:hyperlink r:id="rId17">
        <w:r>
          <w:rPr>
            <w:b/>
            <w:sz w:val="12"/>
          </w:rPr>
          <w:t>San</w:t>
        </w:r>
        <w:r>
          <w:rPr>
            <w:b/>
            <w:spacing w:val="2"/>
            <w:sz w:val="12"/>
          </w:rPr>
          <w:t> </w:t>
        </w:r>
        <w:r>
          <w:rPr>
            <w:b/>
            <w:spacing w:val="-2"/>
            <w:sz w:val="12"/>
          </w:rPr>
          <w:t>Diego</w:t>
        </w:r>
      </w:hyperlink>
    </w:p>
    <w:p>
      <w:pPr>
        <w:spacing w:before="16"/>
        <w:ind w:left="3163" w:right="0" w:firstLine="0"/>
        <w:jc w:val="left"/>
        <w:rPr>
          <w:sz w:val="12"/>
        </w:rPr>
      </w:pPr>
      <w:r>
        <w:rPr>
          <w:color w:val="6E6158"/>
          <w:sz w:val="12"/>
        </w:rPr>
        <w:t>PH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619.595.3218</w:t>
      </w:r>
    </w:p>
    <w:p>
      <w:pPr>
        <w:spacing w:before="7"/>
        <w:ind w:left="3163" w:right="0" w:firstLine="0"/>
        <w:jc w:val="left"/>
        <w:rPr>
          <w:sz w:val="12"/>
        </w:rPr>
      </w:pPr>
      <w:r>
        <w:rPr>
          <w:color w:val="6E6158"/>
          <w:sz w:val="12"/>
        </w:rPr>
        <w:t>FX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619.231.4372</w:t>
      </w:r>
    </w:p>
    <w:p>
      <w:pPr>
        <w:spacing w:line="266" w:lineRule="auto" w:before="16"/>
        <w:ind w:left="3163" w:right="135" w:firstLine="0"/>
        <w:jc w:val="left"/>
        <w:rPr>
          <w:sz w:val="12"/>
        </w:rPr>
      </w:pPr>
      <w:hyperlink r:id="rId18">
        <w:r>
          <w:rPr>
            <w:color w:val="002E6B"/>
            <w:spacing w:val="-2"/>
            <w:sz w:val="12"/>
            <w:u w:val="single" w:color="002E6B"/>
          </w:rPr>
          <w:t>chawkins@fennemorel</w:t>
        </w:r>
      </w:hyperlink>
      <w:r>
        <w:rPr>
          <w:color w:val="002E6B"/>
          <w:spacing w:val="40"/>
          <w:sz w:val="12"/>
          <w:u w:val="none"/>
        </w:rPr>
        <w:t> </w:t>
      </w:r>
      <w:hyperlink r:id="rId18">
        <w:r>
          <w:rPr>
            <w:color w:val="002E6B"/>
            <w:spacing w:val="-2"/>
            <w:sz w:val="12"/>
            <w:u w:val="single" w:color="002E6B"/>
          </w:rPr>
          <w:t>aw.com</w:t>
        </w:r>
      </w:hyperlink>
    </w:p>
    <w:p>
      <w:pPr>
        <w:spacing w:after="0" w:line="266" w:lineRule="auto"/>
        <w:jc w:val="left"/>
        <w:rPr>
          <w:sz w:val="12"/>
        </w:rPr>
        <w:sectPr>
          <w:type w:val="continuous"/>
          <w:pgSz w:w="12240" w:h="15840"/>
          <w:pgMar w:top="560" w:bottom="280" w:left="1440" w:right="1440"/>
          <w:cols w:num="2" w:equalWidth="0">
            <w:col w:w="4506" w:space="157"/>
            <w:col w:w="4697"/>
          </w:cols>
        </w:sectPr>
      </w:pPr>
    </w:p>
    <w:p>
      <w:pPr>
        <w:pStyle w:val="BodyText"/>
        <w:spacing w:before="259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BANKRUPTCY</w:t>
      </w:r>
      <w:r>
        <w:rPr>
          <w:color w:val="FF8100"/>
          <w:spacing w:val="16"/>
        </w:rPr>
        <w:t> </w:t>
      </w:r>
      <w:r>
        <w:rPr>
          <w:color w:val="FF8100"/>
          <w:spacing w:val="-5"/>
        </w:rPr>
        <w:t>LAW</w:t>
      </w:r>
    </w:p>
    <w:p>
      <w:pPr>
        <w:pStyle w:val="BodyText"/>
        <w:spacing w:line="295" w:lineRule="auto" w:before="147"/>
        <w:ind w:left="99" w:right="150"/>
      </w:pPr>
      <w:r>
        <w:rPr>
          <w:color w:val="6E6158"/>
        </w:rPr>
        <w:t>Our bankruptcy attorneys are visible in various local and state bar sections, national bankruptcy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turnaround</w:t>
      </w:r>
      <w:r>
        <w:rPr>
          <w:color w:val="6E6158"/>
          <w:spacing w:val="35"/>
        </w:rPr>
        <w:t> </w:t>
      </w:r>
      <w:r>
        <w:rPr>
          <w:color w:val="6E6158"/>
        </w:rPr>
        <w:t>groups,</w:t>
      </w:r>
      <w:r>
        <w:rPr>
          <w:color w:val="6E6158"/>
          <w:spacing w:val="35"/>
        </w:rPr>
        <w:t> </w:t>
      </w:r>
      <w:r>
        <w:rPr>
          <w:color w:val="6E6158"/>
        </w:rPr>
        <w:t>have</w:t>
      </w:r>
      <w:r>
        <w:rPr>
          <w:color w:val="6E6158"/>
          <w:spacing w:val="35"/>
        </w:rPr>
        <w:t> </w:t>
      </w:r>
      <w:r>
        <w:rPr>
          <w:color w:val="6E6158"/>
        </w:rPr>
        <w:t>written</w:t>
      </w:r>
      <w:r>
        <w:rPr>
          <w:color w:val="6E6158"/>
          <w:spacing w:val="35"/>
        </w:rPr>
        <w:t> </w:t>
      </w:r>
      <w:r>
        <w:rPr>
          <w:color w:val="6E6158"/>
        </w:rPr>
        <w:t>numerous</w:t>
      </w:r>
      <w:r>
        <w:rPr>
          <w:color w:val="6E6158"/>
          <w:spacing w:val="35"/>
        </w:rPr>
        <w:t> </w:t>
      </w:r>
      <w:r>
        <w:rPr>
          <w:color w:val="6E6158"/>
        </w:rPr>
        <w:t>articles</w:t>
      </w:r>
      <w:r>
        <w:rPr>
          <w:color w:val="6E6158"/>
          <w:spacing w:val="35"/>
        </w:rPr>
        <w:t> </w:t>
      </w:r>
      <w:r>
        <w:rPr>
          <w:color w:val="6E6158"/>
        </w:rPr>
        <w:t>on</w:t>
      </w:r>
      <w:r>
        <w:rPr>
          <w:color w:val="6E6158"/>
          <w:spacing w:val="35"/>
        </w:rPr>
        <w:t> </w:t>
      </w:r>
      <w:r>
        <w:rPr>
          <w:color w:val="6E6158"/>
        </w:rPr>
        <w:t>bankruptcy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creditors’</w:t>
      </w:r>
      <w:r>
        <w:rPr>
          <w:color w:val="6E6158"/>
          <w:spacing w:val="35"/>
        </w:rPr>
        <w:t> </w:t>
      </w:r>
      <w:r>
        <w:rPr>
          <w:color w:val="6E6158"/>
        </w:rPr>
        <w:t>rights topics for both state and national publications, and have participated and spoken at </w:t>
      </w:r>
      <w:r>
        <w:rPr>
          <w:color w:val="6E6158"/>
        </w:rPr>
        <w:t>numerous</w:t>
      </w:r>
      <w:r>
        <w:rPr>
          <w:color w:val="6E6158"/>
          <w:spacing w:val="40"/>
        </w:rPr>
        <w:t> </w:t>
      </w:r>
      <w:r>
        <w:rPr>
          <w:color w:val="6E6158"/>
        </w:rPr>
        <w:t>local, state and national seminars. They also have established relationships with the Arizona,</w:t>
      </w:r>
      <w:r>
        <w:rPr>
          <w:color w:val="6E6158"/>
          <w:spacing w:val="40"/>
        </w:rPr>
        <w:t> </w:t>
      </w:r>
      <w:r>
        <w:rPr>
          <w:color w:val="6E6158"/>
        </w:rPr>
        <w:t>California, Nevada state and federal courts and court personnel.</w:t>
      </w:r>
    </w:p>
    <w:p>
      <w:pPr>
        <w:pStyle w:val="BodyText"/>
        <w:spacing w:line="292" w:lineRule="auto" w:before="203"/>
        <w:ind w:left="99" w:right="150"/>
      </w:pPr>
      <w:r>
        <w:rPr>
          <w:color w:val="6E6158"/>
        </w:rPr>
        <w:t>Our attorneys provide advice and counsel in all areas of secured and unsecured financing and</w:t>
      </w:r>
      <w:r>
        <w:rPr>
          <w:color w:val="6E6158"/>
          <w:spacing w:val="40"/>
        </w:rPr>
        <w:t> </w:t>
      </w:r>
      <w:r>
        <w:rPr>
          <w:color w:val="6E6158"/>
        </w:rPr>
        <w:t>other</w:t>
      </w:r>
      <w:r>
        <w:rPr>
          <w:color w:val="6E6158"/>
          <w:spacing w:val="27"/>
        </w:rPr>
        <w:t> </w:t>
      </w:r>
      <w:r>
        <w:rPr>
          <w:color w:val="6E6158"/>
        </w:rPr>
        <w:t>contracts,</w:t>
      </w:r>
      <w:r>
        <w:rPr>
          <w:color w:val="6E6158"/>
          <w:spacing w:val="27"/>
        </w:rPr>
        <w:t> </w:t>
      </w:r>
      <w:r>
        <w:rPr>
          <w:color w:val="6E6158"/>
        </w:rPr>
        <w:t>including</w:t>
      </w:r>
      <w:r>
        <w:rPr>
          <w:color w:val="6E6158"/>
          <w:spacing w:val="27"/>
        </w:rPr>
        <w:t> </w:t>
      </w:r>
      <w:r>
        <w:rPr>
          <w:color w:val="6E6158"/>
        </w:rPr>
        <w:t>enforcement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creditor’s</w:t>
      </w:r>
      <w:r>
        <w:rPr>
          <w:color w:val="6E6158"/>
          <w:spacing w:val="27"/>
        </w:rPr>
        <w:t> </w:t>
      </w:r>
      <w:r>
        <w:rPr>
          <w:color w:val="6E6158"/>
        </w:rPr>
        <w:t>rights</w:t>
      </w:r>
      <w:r>
        <w:rPr>
          <w:color w:val="6E6158"/>
          <w:spacing w:val="27"/>
        </w:rPr>
        <w:t> </w:t>
      </w:r>
      <w:r>
        <w:rPr>
          <w:color w:val="6E6158"/>
        </w:rPr>
        <w:t>under</w:t>
      </w:r>
      <w:r>
        <w:rPr>
          <w:color w:val="6E6158"/>
          <w:spacing w:val="27"/>
        </w:rPr>
        <w:t> </w:t>
      </w:r>
      <w:r>
        <w:rPr>
          <w:color w:val="6E6158"/>
        </w:rPr>
        <w:t>loan,</w:t>
      </w:r>
      <w:r>
        <w:rPr>
          <w:color w:val="6E6158"/>
          <w:spacing w:val="27"/>
        </w:rPr>
        <w:t> </w:t>
      </w:r>
      <w:r>
        <w:rPr>
          <w:color w:val="6E6158"/>
        </w:rPr>
        <w:t>security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assignment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7" w:lineRule="auto" w:before="83"/>
        <w:ind w:left="99"/>
      </w:pPr>
      <w:r>
        <w:rPr>
          <w:color w:val="6E6158"/>
        </w:rPr>
        <w:t>agreements. With vast experience in loan transactions, modifications and litigation, count on </w:t>
      </w:r>
      <w:r>
        <w:rPr>
          <w:color w:val="6E6158"/>
        </w:rPr>
        <w:t>our</w:t>
      </w:r>
      <w:r>
        <w:rPr>
          <w:color w:val="6E6158"/>
          <w:spacing w:val="40"/>
        </w:rPr>
        <w:t> </w:t>
      </w:r>
      <w:r>
        <w:rPr>
          <w:color w:val="6E6158"/>
        </w:rPr>
        <w:t>attorneys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help</w:t>
      </w:r>
      <w:r>
        <w:rPr>
          <w:color w:val="6E6158"/>
          <w:spacing w:val="27"/>
        </w:rPr>
        <w:t> </w:t>
      </w:r>
      <w:r>
        <w:rPr>
          <w:color w:val="6E6158"/>
        </w:rPr>
        <w:t>clients</w:t>
      </w:r>
      <w:r>
        <w:rPr>
          <w:color w:val="6E6158"/>
          <w:spacing w:val="27"/>
        </w:rPr>
        <w:t> </w:t>
      </w:r>
      <w:r>
        <w:rPr>
          <w:color w:val="6E6158"/>
        </w:rPr>
        <w:t>protect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enforce</w:t>
      </w:r>
      <w:r>
        <w:rPr>
          <w:color w:val="6E6158"/>
          <w:spacing w:val="27"/>
        </w:rPr>
        <w:t> </w:t>
      </w:r>
      <w:r>
        <w:rPr>
          <w:color w:val="6E6158"/>
        </w:rPr>
        <w:t>their</w:t>
      </w:r>
      <w:r>
        <w:rPr>
          <w:color w:val="6E6158"/>
          <w:spacing w:val="27"/>
        </w:rPr>
        <w:t> </w:t>
      </w:r>
      <w:r>
        <w:rPr>
          <w:color w:val="6E6158"/>
        </w:rPr>
        <w:t>rights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most</w:t>
      </w:r>
      <w:r>
        <w:rPr>
          <w:color w:val="6E6158"/>
          <w:spacing w:val="27"/>
        </w:rPr>
        <w:t> </w:t>
      </w:r>
      <w:r>
        <w:rPr>
          <w:color w:val="6E6158"/>
        </w:rPr>
        <w:t>effective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efficient manner</w:t>
      </w:r>
      <w:r>
        <w:rPr>
          <w:color w:val="6E6158"/>
          <w:spacing w:val="34"/>
        </w:rPr>
        <w:t> </w:t>
      </w:r>
      <w:r>
        <w:rPr>
          <w:color w:val="6E6158"/>
        </w:rPr>
        <w:t>possible,</w:t>
      </w:r>
      <w:r>
        <w:rPr>
          <w:color w:val="6E6158"/>
          <w:spacing w:val="34"/>
        </w:rPr>
        <w:t> </w:t>
      </w:r>
      <w:r>
        <w:rPr>
          <w:color w:val="6E6158"/>
        </w:rPr>
        <w:t>including</w:t>
      </w:r>
      <w:r>
        <w:rPr>
          <w:color w:val="6E6158"/>
          <w:spacing w:val="34"/>
        </w:rPr>
        <w:t> </w:t>
      </w:r>
      <w:r>
        <w:rPr>
          <w:color w:val="6E6158"/>
        </w:rPr>
        <w:t>all</w:t>
      </w:r>
      <w:r>
        <w:rPr>
          <w:color w:val="6E6158"/>
          <w:spacing w:val="34"/>
        </w:rPr>
        <w:t> </w:t>
      </w:r>
      <w:r>
        <w:rPr>
          <w:color w:val="6E6158"/>
        </w:rPr>
        <w:t>phases</w:t>
      </w:r>
      <w:r>
        <w:rPr>
          <w:color w:val="6E6158"/>
          <w:spacing w:val="34"/>
        </w:rPr>
        <w:t> </w:t>
      </w:r>
      <w:r>
        <w:rPr>
          <w:color w:val="6E6158"/>
        </w:rPr>
        <w:t>of</w:t>
      </w:r>
      <w:r>
        <w:rPr>
          <w:color w:val="6E6158"/>
          <w:spacing w:val="34"/>
        </w:rPr>
        <w:t> </w:t>
      </w:r>
      <w:r>
        <w:rPr>
          <w:color w:val="6E6158"/>
        </w:rPr>
        <w:t>state,</w:t>
      </w:r>
      <w:r>
        <w:rPr>
          <w:color w:val="6E6158"/>
          <w:spacing w:val="34"/>
        </w:rPr>
        <w:t> </w:t>
      </w:r>
      <w:r>
        <w:rPr>
          <w:color w:val="6E6158"/>
        </w:rPr>
        <w:t>federal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bankruptcy</w:t>
      </w:r>
      <w:r>
        <w:rPr>
          <w:color w:val="6E6158"/>
          <w:spacing w:val="34"/>
        </w:rPr>
        <w:t> </w:t>
      </w:r>
      <w:r>
        <w:rPr>
          <w:color w:val="6E6158"/>
        </w:rPr>
        <w:t>court</w:t>
      </w:r>
      <w:r>
        <w:rPr>
          <w:color w:val="6E6158"/>
          <w:spacing w:val="34"/>
        </w:rPr>
        <w:t> </w:t>
      </w:r>
      <w:r>
        <w:rPr>
          <w:color w:val="6E6158"/>
        </w:rPr>
        <w:t>litigation.</w:t>
      </w:r>
    </w:p>
    <w:p>
      <w:pPr>
        <w:pStyle w:val="Heading4"/>
        <w:spacing w:before="192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3394507</wp:posOffset>
                </wp:positionH>
                <wp:positionV relativeFrom="paragraph">
                  <wp:posOffset>253539</wp:posOffset>
                </wp:positionV>
                <wp:extent cx="36195" cy="1079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1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10795">
                              <a:moveTo>
                                <a:pt x="36021" y="10334"/>
                              </a:moveTo>
                              <a:lnTo>
                                <a:pt x="0" y="10334"/>
                              </a:lnTo>
                              <a:lnTo>
                                <a:pt x="0" y="0"/>
                              </a:lnTo>
                              <a:lnTo>
                                <a:pt x="36021" y="0"/>
                              </a:lnTo>
                              <a:lnTo>
                                <a:pt x="36021" y="10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61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67.284027pt;margin-top:19.963713pt;width:2.836343pt;height:.81375pt;mso-position-horizontal-relative:page;mso-position-vertical-relative:paragraph;z-index:15730176" id="docshape6" filled="true" fillcolor="#6e6158" stroked="false">
                <v:fill type="solid"/>
                <w10:wrap type="none"/>
              </v:rect>
            </w:pict>
          </mc:Fallback>
        </mc:AlternateContent>
      </w:r>
      <w:r>
        <w:rPr>
          <w:color w:val="6E6158"/>
          <w:u w:val="single" w:color="6E6158"/>
        </w:rPr>
        <w:t>Bankruptc</w:t>
      </w:r>
      <w:r>
        <w:rPr>
          <w:color w:val="6E6158"/>
          <w:u w:val="none"/>
        </w:rPr>
        <w:t>y</w:t>
      </w:r>
      <w:r>
        <w:rPr>
          <w:color w:val="6E6158"/>
          <w:spacing w:val="52"/>
          <w:u w:val="single" w:color="6E6158"/>
        </w:rPr>
        <w:t> </w:t>
      </w:r>
      <w:r>
        <w:rPr>
          <w:color w:val="6E6158"/>
          <w:u w:val="single" w:color="6E6158"/>
        </w:rPr>
        <w:t>Matters</w:t>
      </w:r>
      <w:r>
        <w:rPr>
          <w:color w:val="6E6158"/>
          <w:spacing w:val="6"/>
          <w:u w:val="single" w:color="6E6158"/>
        </w:rPr>
        <w:t> </w:t>
      </w:r>
      <w:r>
        <w:rPr>
          <w:color w:val="6E6158"/>
          <w:u w:val="single" w:color="6E6158"/>
        </w:rPr>
        <w:t>Handled</w:t>
      </w:r>
      <w:r>
        <w:rPr>
          <w:color w:val="6E6158"/>
          <w:spacing w:val="7"/>
          <w:u w:val="single" w:color="6E6158"/>
        </w:rPr>
        <w:t> </w:t>
      </w:r>
      <w:r>
        <w:rPr>
          <w:color w:val="6E6158"/>
          <w:u w:val="none"/>
        </w:rPr>
        <w:t>(</w:t>
      </w:r>
      <w:r>
        <w:rPr>
          <w:color w:val="6E6158"/>
          <w:u w:val="single" w:color="6E6158"/>
        </w:rPr>
        <w:t>Partial</w:t>
      </w:r>
      <w:r>
        <w:rPr>
          <w:color w:val="6E6158"/>
          <w:spacing w:val="6"/>
          <w:u w:val="single" w:color="6E6158"/>
        </w:rPr>
        <w:t> </w:t>
      </w:r>
      <w:r>
        <w:rPr>
          <w:color w:val="6E6158"/>
          <w:spacing w:val="-2"/>
          <w:u w:val="single" w:color="6E6158"/>
        </w:rPr>
        <w:t>List</w:t>
      </w:r>
      <w:r>
        <w:rPr>
          <w:color w:val="6E6158"/>
          <w:spacing w:val="-2"/>
          <w:u w:val="none"/>
        </w:rPr>
        <w:t>):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</w:pP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Unsecured</w:t>
      </w:r>
      <w:r>
        <w:rPr>
          <w:color w:val="6E6158"/>
          <w:spacing w:val="13"/>
        </w:rPr>
        <w:t> </w:t>
      </w:r>
      <w:r>
        <w:rPr>
          <w:color w:val="6E6158"/>
        </w:rPr>
        <w:t>Creditors’</w:t>
      </w:r>
      <w:r>
        <w:rPr>
          <w:color w:val="6E6158"/>
          <w:spacing w:val="13"/>
        </w:rPr>
        <w:t> </w:t>
      </w:r>
      <w:r>
        <w:rPr>
          <w:color w:val="6E6158"/>
        </w:rPr>
        <w:t>Committee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Baptist</w:t>
      </w:r>
      <w:r>
        <w:rPr>
          <w:color w:val="6E6158"/>
          <w:spacing w:val="12"/>
        </w:rPr>
        <w:t> </w:t>
      </w:r>
      <w:r>
        <w:rPr>
          <w:color w:val="6E6158"/>
        </w:rPr>
        <w:t>Foundation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Arizona,</w:t>
      </w:r>
      <w:r>
        <w:rPr>
          <w:color w:val="6E6158"/>
          <w:spacing w:val="13"/>
        </w:rPr>
        <w:t> </w:t>
      </w:r>
      <w:r>
        <w:rPr>
          <w:color w:val="6E6158"/>
        </w:rPr>
        <w:t>Inc.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(BFA)</w:t>
      </w:r>
    </w:p>
    <w:p>
      <w:pPr>
        <w:pStyle w:val="BodyText"/>
        <w:spacing w:line="302" w:lineRule="auto" w:before="52"/>
        <w:ind w:right="384"/>
      </w:pPr>
      <w:r>
        <w:rPr>
          <w:color w:val="6E6158"/>
        </w:rPr>
        <w:t>bankruptcies, which involves 101 debtor entities and $640 million of liabilities, in Arizona.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BFA</w:t>
      </w:r>
      <w:r>
        <w:rPr>
          <w:color w:val="6E6158"/>
          <w:spacing w:val="30"/>
        </w:rPr>
        <w:t> </w:t>
      </w:r>
      <w:r>
        <w:rPr>
          <w:color w:val="6E6158"/>
        </w:rPr>
        <w:t>cases</w:t>
      </w:r>
      <w:r>
        <w:rPr>
          <w:color w:val="6E6158"/>
          <w:spacing w:val="30"/>
        </w:rPr>
        <w:t> </w:t>
      </w:r>
      <w:r>
        <w:rPr>
          <w:color w:val="6E6158"/>
        </w:rPr>
        <w:t>involved</w:t>
      </w:r>
      <w:r>
        <w:rPr>
          <w:color w:val="6E6158"/>
          <w:spacing w:val="30"/>
        </w:rPr>
        <w:t> </w:t>
      </w:r>
      <w:r>
        <w:rPr>
          <w:color w:val="6E6158"/>
        </w:rPr>
        <w:t>significant</w:t>
      </w:r>
      <w:r>
        <w:rPr>
          <w:color w:val="6E6158"/>
          <w:spacing w:val="30"/>
        </w:rPr>
        <w:t> </w:t>
      </w:r>
      <w:r>
        <w:rPr>
          <w:color w:val="6E6158"/>
        </w:rPr>
        <w:t>issues</w:t>
      </w:r>
      <w:r>
        <w:rPr>
          <w:color w:val="6E6158"/>
          <w:spacing w:val="30"/>
        </w:rPr>
        <w:t> </w:t>
      </w:r>
      <w:r>
        <w:rPr>
          <w:color w:val="6E6158"/>
        </w:rPr>
        <w:t>of</w:t>
      </w:r>
      <w:r>
        <w:rPr>
          <w:color w:val="6E6158"/>
          <w:spacing w:val="30"/>
        </w:rPr>
        <w:t> </w:t>
      </w:r>
      <w:r>
        <w:rPr>
          <w:color w:val="6E6158"/>
        </w:rPr>
        <w:t>investor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securities</w:t>
      </w:r>
      <w:r>
        <w:rPr>
          <w:color w:val="6E6158"/>
          <w:spacing w:val="30"/>
        </w:rPr>
        <w:t> </w:t>
      </w:r>
      <w:r>
        <w:rPr>
          <w:color w:val="6E6158"/>
        </w:rPr>
        <w:t>fraud</w:t>
      </w:r>
      <w:r>
        <w:rPr>
          <w:color w:val="6E6158"/>
          <w:spacing w:val="30"/>
        </w:rPr>
        <w:t> </w:t>
      </w:r>
      <w:r>
        <w:rPr>
          <w:color w:val="6E6158"/>
        </w:rPr>
        <w:t>by</w:t>
      </w:r>
      <w:r>
        <w:rPr>
          <w:color w:val="6E6158"/>
          <w:spacing w:val="30"/>
        </w:rPr>
        <w:t> </w:t>
      </w:r>
      <w:r>
        <w:rPr>
          <w:color w:val="6E6158"/>
        </w:rPr>
        <w:t>major</w:t>
      </w:r>
      <w:r>
        <w:rPr>
          <w:color w:val="6E6158"/>
          <w:spacing w:val="30"/>
        </w:rPr>
        <w:t> </w:t>
      </w:r>
      <w:r>
        <w:rPr>
          <w:color w:val="6E6158"/>
        </w:rPr>
        <w:t>non-profit</w:t>
      </w:r>
    </w:p>
    <w:p>
      <w:pPr>
        <w:pStyle w:val="BodyText"/>
        <w:spacing w:line="224" w:lineRule="exact"/>
      </w:pPr>
      <w:r>
        <w:rPr>
          <w:color w:val="6E6158"/>
          <w:spacing w:val="-2"/>
        </w:rPr>
        <w:t>corporations.</w:t>
      </w:r>
    </w:p>
    <w:p>
      <w:pPr>
        <w:pStyle w:val="BodyText"/>
        <w:spacing w:line="292" w:lineRule="auto" w:before="174"/>
        <w:ind w:right="449"/>
        <w:jc w:val="both"/>
      </w:pPr>
      <w:r>
        <w:rPr>
          <w:color w:val="6E6158"/>
        </w:rPr>
        <w:t>The pre-petition and post-petition lender in the MicroAge bankruptcies. The MicroAge </w:t>
      </w:r>
      <w:r>
        <w:rPr>
          <w:color w:val="6E6158"/>
        </w:rPr>
        <w:t>case involved approximately $600 million of liabilities.</w:t>
      </w:r>
    </w:p>
    <w:p>
      <w:pPr>
        <w:pStyle w:val="BodyText"/>
        <w:spacing w:line="292" w:lineRule="auto" w:before="131"/>
        <w:ind w:right="555"/>
        <w:jc w:val="both"/>
      </w:pPr>
      <w:r>
        <w:rPr>
          <w:color w:val="6E6158"/>
        </w:rPr>
        <w:t>A major pre-petition construction and acquisition and development lender and debtor-</w:t>
      </w:r>
      <w:r>
        <w:rPr>
          <w:color w:val="6E6158"/>
        </w:rPr>
        <w:t>in-possession lender in the UDC Homes, Inc. bankruptcy in Delaware. The UDC case involved approximately $400 million of real estate assets.</w:t>
      </w:r>
    </w:p>
    <w:p>
      <w:pPr>
        <w:pStyle w:val="BodyText"/>
        <w:spacing w:line="295" w:lineRule="auto" w:before="124"/>
        <w:ind w:right="150"/>
      </w:pPr>
      <w:r>
        <w:rPr>
          <w:color w:val="6E6158"/>
        </w:rPr>
        <w:t>A</w:t>
      </w:r>
      <w:r>
        <w:rPr>
          <w:color w:val="6E6158"/>
          <w:spacing w:val="24"/>
        </w:rPr>
        <w:t> </w:t>
      </w:r>
      <w:r>
        <w:rPr>
          <w:color w:val="6E6158"/>
        </w:rPr>
        <w:t>major</w:t>
      </w:r>
      <w:r>
        <w:rPr>
          <w:color w:val="6E6158"/>
          <w:spacing w:val="24"/>
        </w:rPr>
        <w:t> </w:t>
      </w:r>
      <w:r>
        <w:rPr>
          <w:color w:val="6E6158"/>
        </w:rPr>
        <w:t>gasoline</w:t>
      </w:r>
      <w:r>
        <w:rPr>
          <w:color w:val="6E6158"/>
          <w:spacing w:val="24"/>
        </w:rPr>
        <w:t> </w:t>
      </w:r>
      <w:r>
        <w:rPr>
          <w:color w:val="6E6158"/>
        </w:rPr>
        <w:t>trade</w:t>
      </w:r>
      <w:r>
        <w:rPr>
          <w:color w:val="6E6158"/>
          <w:spacing w:val="24"/>
        </w:rPr>
        <w:t> </w:t>
      </w:r>
      <w:r>
        <w:rPr>
          <w:color w:val="6E6158"/>
        </w:rPr>
        <w:t>creditor</w:t>
      </w:r>
      <w:r>
        <w:rPr>
          <w:color w:val="6E6158"/>
          <w:spacing w:val="24"/>
        </w:rPr>
        <w:t> </w:t>
      </w:r>
      <w:r>
        <w:rPr>
          <w:color w:val="6E6158"/>
        </w:rPr>
        <w:t>that</w:t>
      </w:r>
      <w:r>
        <w:rPr>
          <w:color w:val="6E6158"/>
          <w:spacing w:val="24"/>
        </w:rPr>
        <w:t> </w:t>
      </w:r>
      <w:r>
        <w:rPr>
          <w:color w:val="6E6158"/>
        </w:rPr>
        <w:t>chaired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Unofficial</w:t>
      </w:r>
      <w:r>
        <w:rPr>
          <w:color w:val="6E6158"/>
          <w:spacing w:val="24"/>
        </w:rPr>
        <w:t> </w:t>
      </w:r>
      <w:r>
        <w:rPr>
          <w:color w:val="6E6158"/>
        </w:rPr>
        <w:t>Reclamation</w:t>
      </w:r>
      <w:r>
        <w:rPr>
          <w:color w:val="6E6158"/>
          <w:spacing w:val="24"/>
        </w:rPr>
        <w:t> </w:t>
      </w:r>
      <w:r>
        <w:rPr>
          <w:color w:val="6E6158"/>
        </w:rPr>
        <w:t>Creditors’</w:t>
      </w:r>
      <w:r>
        <w:rPr>
          <w:color w:val="6E6158"/>
          <w:spacing w:val="24"/>
        </w:rPr>
        <w:t> </w:t>
      </w:r>
      <w:r>
        <w:rPr>
          <w:color w:val="6E6158"/>
        </w:rPr>
        <w:t>Committee in the consolidated bankruptcies of a national convenience store chain, and was </w:t>
      </w:r>
      <w:r>
        <w:rPr>
          <w:color w:val="6E6158"/>
        </w:rPr>
        <w:t>instrumental</w:t>
      </w:r>
      <w:r>
        <w:rPr>
          <w:color w:val="6E6158"/>
          <w:spacing w:val="80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formulating</w:t>
      </w:r>
      <w:r>
        <w:rPr>
          <w:color w:val="6E6158"/>
          <w:spacing w:val="23"/>
        </w:rPr>
        <w:t> </w:t>
      </w:r>
      <w:r>
        <w:rPr>
          <w:color w:val="6E6158"/>
        </w:rPr>
        <w:t>$40</w:t>
      </w:r>
      <w:r>
        <w:rPr>
          <w:color w:val="6E6158"/>
          <w:spacing w:val="23"/>
        </w:rPr>
        <w:t> </w:t>
      </w:r>
      <w:r>
        <w:rPr>
          <w:color w:val="6E6158"/>
        </w:rPr>
        <w:t>million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post-petition</w:t>
      </w:r>
      <w:r>
        <w:rPr>
          <w:color w:val="6E6158"/>
          <w:spacing w:val="23"/>
        </w:rPr>
        <w:t> </w:t>
      </w:r>
      <w:r>
        <w:rPr>
          <w:color w:val="6E6158"/>
        </w:rPr>
        <w:t>super</w:t>
      </w:r>
      <w:r>
        <w:rPr>
          <w:color w:val="6E6158"/>
          <w:spacing w:val="23"/>
        </w:rPr>
        <w:t> </w:t>
      </w:r>
      <w:r>
        <w:rPr>
          <w:color w:val="6E6158"/>
        </w:rPr>
        <w:t>priority</w:t>
      </w:r>
      <w:r>
        <w:rPr>
          <w:color w:val="6E6158"/>
          <w:spacing w:val="23"/>
        </w:rPr>
        <w:t> </w:t>
      </w:r>
      <w:r>
        <w:rPr>
          <w:color w:val="6E6158"/>
        </w:rPr>
        <w:t>trade</w:t>
      </w:r>
      <w:r>
        <w:rPr>
          <w:color w:val="6E6158"/>
          <w:spacing w:val="23"/>
        </w:rPr>
        <w:t> </w:t>
      </w:r>
      <w:r>
        <w:rPr>
          <w:color w:val="6E6158"/>
        </w:rPr>
        <w:t>credit,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purchased</w:t>
      </w:r>
      <w:r>
        <w:rPr>
          <w:color w:val="6E6158"/>
          <w:spacing w:val="23"/>
        </w:rPr>
        <w:t> </w:t>
      </w:r>
      <w:r>
        <w:rPr>
          <w:color w:val="6E6158"/>
        </w:rPr>
        <w:t>$20</w:t>
      </w:r>
      <w:r>
        <w:rPr>
          <w:color w:val="6E6158"/>
          <w:spacing w:val="23"/>
        </w:rPr>
        <w:t> </w:t>
      </w:r>
      <w:r>
        <w:rPr>
          <w:color w:val="6E6158"/>
        </w:rPr>
        <w:t>million of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company’s</w:t>
      </w:r>
      <w:r>
        <w:rPr>
          <w:color w:val="6E6158"/>
          <w:spacing w:val="29"/>
        </w:rPr>
        <w:t> </w:t>
      </w:r>
      <w:r>
        <w:rPr>
          <w:color w:val="6E6158"/>
        </w:rPr>
        <w:t>Hawaii</w:t>
      </w:r>
      <w:r>
        <w:rPr>
          <w:color w:val="6E6158"/>
          <w:spacing w:val="29"/>
        </w:rPr>
        <w:t> </w:t>
      </w:r>
      <w:r>
        <w:rPr>
          <w:color w:val="6E6158"/>
        </w:rPr>
        <w:t>stores.</w:t>
      </w:r>
      <w:r>
        <w:rPr>
          <w:color w:val="6E6158"/>
          <w:spacing w:val="29"/>
        </w:rPr>
        <w:t> </w:t>
      </w:r>
      <w:r>
        <w:rPr>
          <w:color w:val="6E6158"/>
        </w:rPr>
        <w:t>This</w:t>
      </w:r>
      <w:r>
        <w:rPr>
          <w:color w:val="6E6158"/>
          <w:spacing w:val="29"/>
        </w:rPr>
        <w:t> </w:t>
      </w:r>
      <w:r>
        <w:rPr>
          <w:color w:val="6E6158"/>
        </w:rPr>
        <w:t>case</w:t>
      </w:r>
      <w:r>
        <w:rPr>
          <w:color w:val="6E6158"/>
          <w:spacing w:val="29"/>
        </w:rPr>
        <w:t> </w:t>
      </w:r>
      <w:r>
        <w:rPr>
          <w:color w:val="6E6158"/>
        </w:rPr>
        <w:t>involved</w:t>
      </w:r>
      <w:r>
        <w:rPr>
          <w:color w:val="6E6158"/>
          <w:spacing w:val="29"/>
        </w:rPr>
        <w:t> </w:t>
      </w:r>
      <w:r>
        <w:rPr>
          <w:color w:val="6E6158"/>
        </w:rPr>
        <w:t>approximately</w:t>
      </w:r>
      <w:r>
        <w:rPr>
          <w:color w:val="6E6158"/>
          <w:spacing w:val="29"/>
        </w:rPr>
        <w:t> </w:t>
      </w:r>
      <w:r>
        <w:rPr>
          <w:color w:val="6E6158"/>
        </w:rPr>
        <w:t>$860</w:t>
      </w:r>
      <w:r>
        <w:rPr>
          <w:color w:val="6E6158"/>
          <w:spacing w:val="29"/>
        </w:rPr>
        <w:t> </w:t>
      </w:r>
      <w:r>
        <w:rPr>
          <w:color w:val="6E6158"/>
        </w:rPr>
        <w:t>million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assets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</w:p>
    <w:p>
      <w:pPr>
        <w:pStyle w:val="BodyText"/>
        <w:spacing w:before="9"/>
      </w:pPr>
      <w:r>
        <w:rPr>
          <w:color w:val="6E6158"/>
        </w:rPr>
        <w:t>$1.5</w:t>
      </w:r>
      <w:r>
        <w:rPr>
          <w:color w:val="6E6158"/>
          <w:spacing w:val="7"/>
        </w:rPr>
        <w:t> </w:t>
      </w:r>
      <w:r>
        <w:rPr>
          <w:color w:val="6E6158"/>
        </w:rPr>
        <w:t>billion</w:t>
      </w:r>
      <w:r>
        <w:rPr>
          <w:color w:val="6E6158"/>
          <w:spacing w:val="8"/>
        </w:rPr>
        <w:t> </w:t>
      </w:r>
      <w:r>
        <w:rPr>
          <w:color w:val="6E6158"/>
        </w:rPr>
        <w:t>in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liabilities.</w:t>
      </w:r>
    </w:p>
    <w:p>
      <w:pPr>
        <w:pStyle w:val="BodyText"/>
        <w:spacing w:line="292" w:lineRule="auto" w:before="174"/>
        <w:ind w:right="384"/>
      </w:pPr>
      <w:r>
        <w:rPr>
          <w:color w:val="6E6158"/>
        </w:rPr>
        <w:t>The indenture trustee of $52 million of public bonds with liens on 80,000 acres of land in more</w:t>
      </w:r>
      <w:r>
        <w:rPr>
          <w:color w:val="6E6158"/>
          <w:spacing w:val="40"/>
        </w:rPr>
        <w:t> </w:t>
      </w:r>
      <w:r>
        <w:rPr>
          <w:color w:val="6E6158"/>
        </w:rPr>
        <w:t>than 50 separate Sun Valley Parkway bankruptcies.</w:t>
      </w:r>
    </w:p>
    <w:p>
      <w:pPr>
        <w:pStyle w:val="BodyText"/>
        <w:spacing w:line="295" w:lineRule="auto" w:before="123"/>
        <w:ind w:right="418"/>
      </w:pPr>
      <w:r>
        <w:rPr>
          <w:color w:val="6E6158"/>
        </w:rPr>
        <w:t>A major post-petition administrative and pre-petition unsecured creditor, which was also </w:t>
      </w:r>
      <w:r>
        <w:rPr>
          <w:color w:val="6E6158"/>
        </w:rPr>
        <w:t>a member of the Unsecured Creditors’ Committee, in the consolidated bankruptcies of a</w:t>
      </w:r>
      <w:r>
        <w:rPr>
          <w:color w:val="6E6158"/>
          <w:spacing w:val="40"/>
        </w:rPr>
        <w:t> </w:t>
      </w:r>
      <w:r>
        <w:rPr>
          <w:color w:val="6E6158"/>
        </w:rPr>
        <w:t>convenience store chain in Texas. This case involved about $260 million of assets and $380</w:t>
      </w:r>
      <w:r>
        <w:rPr>
          <w:color w:val="6E6158"/>
          <w:spacing w:val="40"/>
        </w:rPr>
        <w:t> </w:t>
      </w:r>
      <w:r>
        <w:rPr>
          <w:color w:val="6E6158"/>
        </w:rPr>
        <w:t>million in liabilities.</w:t>
      </w:r>
    </w:p>
    <w:p>
      <w:pPr>
        <w:pStyle w:val="BodyText"/>
        <w:spacing w:before="124"/>
      </w:pP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significant</w:t>
      </w:r>
      <w:r>
        <w:rPr>
          <w:color w:val="6E6158"/>
          <w:spacing w:val="13"/>
        </w:rPr>
        <w:t> </w:t>
      </w:r>
      <w:r>
        <w:rPr>
          <w:color w:val="6E6158"/>
        </w:rPr>
        <w:t>supplier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Einstein/Noah</w:t>
      </w:r>
      <w:r>
        <w:rPr>
          <w:color w:val="6E6158"/>
          <w:spacing w:val="13"/>
        </w:rPr>
        <w:t> </w:t>
      </w:r>
      <w:r>
        <w:rPr>
          <w:color w:val="6E6158"/>
        </w:rPr>
        <w:t>Bagel</w:t>
      </w:r>
      <w:r>
        <w:rPr>
          <w:color w:val="6E6158"/>
          <w:spacing w:val="14"/>
        </w:rPr>
        <w:t> </w:t>
      </w:r>
      <w:r>
        <w:rPr>
          <w:color w:val="6E6158"/>
        </w:rPr>
        <w:t>bankruptcy</w:t>
      </w:r>
      <w:r>
        <w:rPr>
          <w:color w:val="6E6158"/>
          <w:spacing w:val="13"/>
        </w:rPr>
        <w:t> </w:t>
      </w:r>
      <w:r>
        <w:rPr>
          <w:color w:val="6E6158"/>
        </w:rPr>
        <w:t>cases</w:t>
      </w:r>
      <w:r>
        <w:rPr>
          <w:color w:val="6E6158"/>
          <w:spacing w:val="13"/>
        </w:rPr>
        <w:t> </w:t>
      </w:r>
      <w:r>
        <w:rPr>
          <w:color w:val="6E6158"/>
        </w:rPr>
        <w:t>that</w:t>
      </w:r>
      <w:r>
        <w:rPr>
          <w:color w:val="6E6158"/>
          <w:spacing w:val="13"/>
        </w:rPr>
        <w:t> </w:t>
      </w:r>
      <w:r>
        <w:rPr>
          <w:color w:val="6E6158"/>
        </w:rPr>
        <w:t>involved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approximately</w:t>
      </w:r>
    </w:p>
    <w:p>
      <w:pPr>
        <w:pStyle w:val="BodyText"/>
        <w:spacing w:before="60"/>
      </w:pPr>
      <w:r>
        <w:rPr>
          <w:color w:val="6E6158"/>
        </w:rPr>
        <w:t>$200</w:t>
      </w:r>
      <w:r>
        <w:rPr>
          <w:color w:val="6E6158"/>
          <w:spacing w:val="8"/>
        </w:rPr>
        <w:t> </w:t>
      </w:r>
      <w:r>
        <w:rPr>
          <w:color w:val="6E6158"/>
        </w:rPr>
        <w:t>million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liabilities.</w:t>
      </w:r>
    </w:p>
    <w:p>
      <w:pPr>
        <w:pStyle w:val="BodyText"/>
        <w:spacing w:line="292" w:lineRule="auto" w:before="174"/>
      </w:pPr>
      <w:r>
        <w:rPr>
          <w:color w:val="6E6158"/>
        </w:rPr>
        <w:t>The indenture trustee of several public bond issuances in the bankruptcy of a major airline. This</w:t>
      </w:r>
      <w:r>
        <w:rPr>
          <w:color w:val="6E6158"/>
          <w:spacing w:val="40"/>
        </w:rPr>
        <w:t> </w:t>
      </w:r>
      <w:r>
        <w:rPr>
          <w:color w:val="6E6158"/>
        </w:rPr>
        <w:t>case involved assets and liabilities over $1 billion.</w:t>
      </w:r>
    </w:p>
    <w:p>
      <w:pPr>
        <w:pStyle w:val="BodyText"/>
        <w:spacing w:line="302" w:lineRule="auto" w:before="123"/>
      </w:pPr>
      <w:r>
        <w:rPr>
          <w:color w:val="6E6158"/>
        </w:rPr>
        <w:t>The Chapter 11 trustee in seven interrelated health care bankruptcies, which involved </w:t>
      </w:r>
      <w:r>
        <w:rPr>
          <w:color w:val="6E6158"/>
        </w:rPr>
        <w:t>several</w:t>
      </w:r>
      <w:r>
        <w:rPr>
          <w:color w:val="6E6158"/>
          <w:spacing w:val="40"/>
        </w:rPr>
        <w:t> </w:t>
      </w:r>
      <w:r>
        <w:rPr>
          <w:color w:val="6E6158"/>
        </w:rPr>
        <w:t>senior</w:t>
      </w:r>
      <w:r>
        <w:rPr>
          <w:color w:val="6E6158"/>
          <w:spacing w:val="29"/>
        </w:rPr>
        <w:t> </w:t>
      </w:r>
      <w:r>
        <w:rPr>
          <w:color w:val="6E6158"/>
        </w:rPr>
        <w:t>living</w:t>
      </w:r>
      <w:r>
        <w:rPr>
          <w:color w:val="6E6158"/>
          <w:spacing w:val="29"/>
        </w:rPr>
        <w:t> </w:t>
      </w:r>
      <w:r>
        <w:rPr>
          <w:color w:val="6E6158"/>
        </w:rPr>
        <w:t>facilities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successful</w:t>
      </w:r>
      <w:r>
        <w:rPr>
          <w:color w:val="6E6158"/>
          <w:spacing w:val="29"/>
        </w:rPr>
        <w:t> </w:t>
      </w:r>
      <w:r>
        <w:rPr>
          <w:color w:val="6E6158"/>
        </w:rPr>
        <w:t>marketing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sale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approximately</w:t>
      </w:r>
      <w:r>
        <w:rPr>
          <w:color w:val="6E6158"/>
          <w:spacing w:val="29"/>
        </w:rPr>
        <w:t> </w:t>
      </w:r>
      <w:r>
        <w:rPr>
          <w:color w:val="6E6158"/>
        </w:rPr>
        <w:t>$45</w:t>
      </w:r>
      <w:r>
        <w:rPr>
          <w:color w:val="6E6158"/>
          <w:spacing w:val="29"/>
        </w:rPr>
        <w:t> </w:t>
      </w:r>
      <w:r>
        <w:rPr>
          <w:color w:val="6E6158"/>
        </w:rPr>
        <w:t>million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</w:p>
    <w:p>
      <w:pPr>
        <w:pStyle w:val="BodyText"/>
        <w:spacing w:line="297" w:lineRule="auto"/>
        <w:ind w:right="418"/>
      </w:pPr>
      <w:r>
        <w:rPr>
          <w:color w:val="6E6158"/>
        </w:rPr>
        <w:t>assets. The trustee cooperated in the criminal investigation of former principals by the FBI and</w:t>
      </w:r>
      <w:r>
        <w:rPr>
          <w:color w:val="6E6158"/>
          <w:spacing w:val="40"/>
        </w:rPr>
        <w:t> </w:t>
      </w:r>
      <w:r>
        <w:rPr>
          <w:color w:val="6E6158"/>
        </w:rPr>
        <w:t>State Attorney General that resulted in the three major principals pleading guilty to several</w:t>
      </w:r>
      <w:r>
        <w:rPr>
          <w:color w:val="6E6158"/>
          <w:spacing w:val="40"/>
        </w:rPr>
        <w:t> </w:t>
      </w:r>
      <w:r>
        <w:rPr>
          <w:color w:val="6E6158"/>
        </w:rPr>
        <w:t>felony charges.</w:t>
      </w:r>
    </w:p>
    <w:p>
      <w:pPr>
        <w:pStyle w:val="BodyText"/>
        <w:spacing w:line="292" w:lineRule="auto" w:before="109"/>
        <w:ind w:right="418"/>
      </w:pPr>
      <w:r>
        <w:rPr>
          <w:color w:val="6E6158"/>
        </w:rPr>
        <w:t>The debtor, an electric utility and its subsidiaries, in the involuntary proceedings filed against them and in the related state court litigation regarding one of its leveraged leases, both of</w:t>
      </w:r>
      <w:r>
        <w:rPr>
          <w:color w:val="6E6158"/>
          <w:spacing w:val="40"/>
        </w:rPr>
        <w:t> </w:t>
      </w:r>
      <w:r>
        <w:rPr>
          <w:color w:val="6E6158"/>
        </w:rPr>
        <w:t>which</w:t>
      </w:r>
      <w:r>
        <w:rPr>
          <w:color w:val="6E6158"/>
          <w:spacing w:val="11"/>
        </w:rPr>
        <w:t> </w:t>
      </w:r>
      <w:r>
        <w:rPr>
          <w:color w:val="6E6158"/>
        </w:rPr>
        <w:t>were</w:t>
      </w:r>
      <w:r>
        <w:rPr>
          <w:color w:val="6E6158"/>
          <w:spacing w:val="12"/>
        </w:rPr>
        <w:t> </w:t>
      </w:r>
      <w:r>
        <w:rPr>
          <w:color w:val="6E6158"/>
        </w:rPr>
        <w:t>ultimately</w:t>
      </w:r>
      <w:r>
        <w:rPr>
          <w:color w:val="6E6158"/>
          <w:spacing w:val="12"/>
        </w:rPr>
        <w:t> </w:t>
      </w:r>
      <w:r>
        <w:rPr>
          <w:color w:val="6E6158"/>
        </w:rPr>
        <w:t>dismissed.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company</w:t>
      </w:r>
      <w:r>
        <w:rPr>
          <w:color w:val="6E6158"/>
          <w:spacing w:val="12"/>
        </w:rPr>
        <w:t> </w:t>
      </w:r>
      <w:r>
        <w:rPr>
          <w:color w:val="6E6158"/>
        </w:rPr>
        <w:t>had</w:t>
      </w:r>
      <w:r>
        <w:rPr>
          <w:color w:val="6E6158"/>
          <w:spacing w:val="12"/>
        </w:rPr>
        <w:t> </w:t>
      </w:r>
      <w:r>
        <w:rPr>
          <w:color w:val="6E6158"/>
        </w:rPr>
        <w:t>nearly</w:t>
      </w:r>
      <w:r>
        <w:rPr>
          <w:color w:val="6E6158"/>
          <w:spacing w:val="12"/>
        </w:rPr>
        <w:t> </w:t>
      </w:r>
      <w:r>
        <w:rPr>
          <w:color w:val="6E6158"/>
        </w:rPr>
        <w:t>$1.5</w:t>
      </w:r>
      <w:r>
        <w:rPr>
          <w:color w:val="6E6158"/>
          <w:spacing w:val="12"/>
        </w:rPr>
        <w:t> </w:t>
      </w:r>
      <w:r>
        <w:rPr>
          <w:color w:val="6E6158"/>
        </w:rPr>
        <w:t>billion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liabilities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assets.</w:t>
      </w:r>
    </w:p>
    <w:p>
      <w:pPr>
        <w:pStyle w:val="BodyText"/>
        <w:spacing w:line="292" w:lineRule="auto" w:before="132"/>
      </w:pPr>
      <w:r>
        <w:rPr>
          <w:color w:val="6E6158"/>
        </w:rPr>
        <w:t>The former owner of a petroleum refinery in the bankruptcy of an oil and gas firm. Significant</w:t>
      </w:r>
      <w:r>
        <w:rPr>
          <w:color w:val="6E6158"/>
          <w:spacing w:val="40"/>
        </w:rPr>
        <w:t> </w:t>
      </w:r>
      <w:r>
        <w:rPr>
          <w:color w:val="6E6158"/>
        </w:rPr>
        <w:t>environmental</w:t>
      </w:r>
      <w:r>
        <w:rPr>
          <w:color w:val="6E6158"/>
          <w:spacing w:val="18"/>
        </w:rPr>
        <w:t> </w:t>
      </w:r>
      <w:r>
        <w:rPr>
          <w:color w:val="6E6158"/>
        </w:rPr>
        <w:t>issues,</w:t>
      </w:r>
      <w:r>
        <w:rPr>
          <w:color w:val="6E6158"/>
          <w:spacing w:val="18"/>
        </w:rPr>
        <w:t> </w:t>
      </w:r>
      <w:r>
        <w:rPr>
          <w:color w:val="6E6158"/>
        </w:rPr>
        <w:t>equitable</w:t>
      </w:r>
      <w:r>
        <w:rPr>
          <w:color w:val="6E6158"/>
          <w:spacing w:val="18"/>
        </w:rPr>
        <w:t> </w:t>
      </w:r>
      <w:r>
        <w:rPr>
          <w:color w:val="6E6158"/>
        </w:rPr>
        <w:t>servitudes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covenants</w:t>
      </w:r>
      <w:r>
        <w:rPr>
          <w:color w:val="6E6158"/>
          <w:spacing w:val="18"/>
        </w:rPr>
        <w:t> </w:t>
      </w:r>
      <w:r>
        <w:rPr>
          <w:color w:val="6E6158"/>
        </w:rPr>
        <w:t>running</w:t>
      </w:r>
      <w:r>
        <w:rPr>
          <w:color w:val="6E6158"/>
          <w:spacing w:val="18"/>
        </w:rPr>
        <w:t> </w:t>
      </w:r>
      <w:r>
        <w:rPr>
          <w:color w:val="6E6158"/>
        </w:rPr>
        <w:t>with</w:t>
      </w:r>
      <w:r>
        <w:rPr>
          <w:color w:val="6E6158"/>
          <w:spacing w:val="18"/>
        </w:rPr>
        <w:t> </w:t>
      </w:r>
      <w:r>
        <w:rPr>
          <w:color w:val="6E6158"/>
        </w:rPr>
        <w:t>the</w:t>
      </w:r>
      <w:r>
        <w:rPr>
          <w:color w:val="6E6158"/>
          <w:spacing w:val="18"/>
        </w:rPr>
        <w:t> </w:t>
      </w:r>
      <w:r>
        <w:rPr>
          <w:color w:val="6E6158"/>
        </w:rPr>
        <w:t>land</w:t>
      </w:r>
      <w:r>
        <w:rPr>
          <w:color w:val="6E6158"/>
          <w:spacing w:val="18"/>
        </w:rPr>
        <w:t> </w:t>
      </w:r>
      <w:r>
        <w:rPr>
          <w:color w:val="6E6158"/>
        </w:rPr>
        <w:t>were</w:t>
      </w:r>
      <w:r>
        <w:rPr>
          <w:color w:val="6E6158"/>
          <w:spacing w:val="18"/>
        </w:rPr>
        <w:t> </w:t>
      </w:r>
      <w:r>
        <w:rPr>
          <w:color w:val="6E6158"/>
        </w:rPr>
        <w:t>litigated.</w:t>
      </w:r>
    </w:p>
    <w:p>
      <w:pPr>
        <w:pStyle w:val="BodyText"/>
        <w:spacing w:line="292" w:lineRule="auto" w:before="123"/>
      </w:pPr>
      <w:r>
        <w:rPr>
          <w:color w:val="6E6158"/>
        </w:rPr>
        <w:t>A secured construction lender in a major marina project in the Coastal Research and Development bankruptcy in New Jersey.</w:t>
      </w:r>
    </w:p>
    <w:p>
      <w:pPr>
        <w:pStyle w:val="BodyText"/>
        <w:spacing w:before="131"/>
      </w:pP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pre-petition</w:t>
      </w:r>
      <w:r>
        <w:rPr>
          <w:color w:val="6E6158"/>
          <w:spacing w:val="12"/>
        </w:rPr>
        <w:t> </w:t>
      </w:r>
      <w:r>
        <w:rPr>
          <w:color w:val="6E6158"/>
        </w:rPr>
        <w:t>secured</w:t>
      </w:r>
      <w:r>
        <w:rPr>
          <w:color w:val="6E6158"/>
          <w:spacing w:val="12"/>
        </w:rPr>
        <w:t> </w:t>
      </w:r>
      <w:r>
        <w:rPr>
          <w:color w:val="6E6158"/>
        </w:rPr>
        <w:t>lender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bankruptcy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motorcycle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manufacturer.</w:t>
      </w:r>
    </w:p>
    <w:p>
      <w:pPr>
        <w:pStyle w:val="BodyText"/>
        <w:spacing w:line="292" w:lineRule="auto" w:before="174"/>
        <w:ind w:right="344"/>
        <w:jc w:val="both"/>
      </w:pPr>
      <w:r>
        <w:rPr>
          <w:color w:val="6E6158"/>
        </w:rPr>
        <w:t>A major unsecured creditor in the Kroy, Inc. and Kroy (Europe) bankruptcies and a plaintiff in subsequent LBO litigation.</w:t>
      </w:r>
    </w:p>
    <w:p>
      <w:pPr>
        <w:pStyle w:val="BodyText"/>
        <w:spacing w:after="0" w:line="292" w:lineRule="auto"/>
        <w:jc w:val="both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  <w:jc w:val="both"/>
      </w:pP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Official</w:t>
      </w:r>
      <w:r>
        <w:rPr>
          <w:color w:val="6E6158"/>
          <w:spacing w:val="13"/>
        </w:rPr>
        <w:t> </w:t>
      </w:r>
      <w:r>
        <w:rPr>
          <w:color w:val="6E6158"/>
        </w:rPr>
        <w:t>Unsecured</w:t>
      </w:r>
      <w:r>
        <w:rPr>
          <w:color w:val="6E6158"/>
          <w:spacing w:val="13"/>
        </w:rPr>
        <w:t> </w:t>
      </w:r>
      <w:r>
        <w:rPr>
          <w:color w:val="6E6158"/>
        </w:rPr>
        <w:t>Creditors</w:t>
      </w:r>
      <w:r>
        <w:rPr>
          <w:color w:val="6E6158"/>
          <w:spacing w:val="12"/>
        </w:rPr>
        <w:t> </w:t>
      </w:r>
      <w:r>
        <w:rPr>
          <w:color w:val="6E6158"/>
        </w:rPr>
        <w:t>Committee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refinery</w:t>
      </w:r>
      <w:r>
        <w:rPr>
          <w:color w:val="6E6158"/>
          <w:spacing w:val="12"/>
        </w:rPr>
        <w:t> </w:t>
      </w:r>
      <w:r>
        <w:rPr>
          <w:color w:val="6E6158"/>
        </w:rPr>
        <w:t>bankruptcy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Arizona.</w:t>
      </w:r>
    </w:p>
    <w:p>
      <w:pPr>
        <w:pStyle w:val="BodyText"/>
        <w:spacing w:line="297" w:lineRule="auto" w:before="174"/>
        <w:ind w:right="641"/>
        <w:jc w:val="both"/>
      </w:pPr>
      <w:r>
        <w:rPr>
          <w:color w:val="6E6158"/>
        </w:rPr>
        <w:t>Numerous life insurance companies and institutional lenders with secured and unsecured claims in a variety of shopping center, apartment and office building Chapter 11 cases in </w:t>
      </w:r>
      <w:r>
        <w:rPr>
          <w:color w:val="6E6158"/>
          <w:spacing w:val="-2"/>
        </w:rPr>
        <w:t>Arizona.</w:t>
      </w:r>
    </w:p>
    <w:p>
      <w:pPr>
        <w:pStyle w:val="BodyText"/>
        <w:spacing w:line="292" w:lineRule="auto" w:before="118"/>
        <w:ind w:right="819"/>
        <w:jc w:val="both"/>
      </w:pPr>
      <w:r>
        <w:rPr>
          <w:color w:val="6E6158"/>
        </w:rPr>
        <w:t>Numerous banks as secured and unsecured creditors in preference litigation, </w:t>
      </w:r>
      <w:r>
        <w:rPr>
          <w:color w:val="6E6158"/>
        </w:rPr>
        <w:t>adversary proceedings,</w:t>
      </w:r>
      <w:r>
        <w:rPr>
          <w:color w:val="6E6158"/>
          <w:spacing w:val="38"/>
        </w:rPr>
        <w:t> </w:t>
      </w:r>
      <w:r>
        <w:rPr>
          <w:color w:val="6E6158"/>
        </w:rPr>
        <w:t>non-dischargeability</w:t>
      </w:r>
      <w:r>
        <w:rPr>
          <w:color w:val="6E6158"/>
          <w:spacing w:val="38"/>
        </w:rPr>
        <w:t> </w:t>
      </w:r>
      <w:r>
        <w:rPr>
          <w:color w:val="6E6158"/>
        </w:rPr>
        <w:t>proceedings,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single</w:t>
      </w:r>
      <w:r>
        <w:rPr>
          <w:color w:val="6E6158"/>
          <w:spacing w:val="38"/>
        </w:rPr>
        <w:t> </w:t>
      </w:r>
      <w:r>
        <w:rPr>
          <w:color w:val="6E6158"/>
        </w:rPr>
        <w:t>asset</w:t>
      </w:r>
      <w:r>
        <w:rPr>
          <w:color w:val="6E6158"/>
          <w:spacing w:val="38"/>
        </w:rPr>
        <w:t> </w:t>
      </w:r>
      <w:r>
        <w:rPr>
          <w:color w:val="6E6158"/>
        </w:rPr>
        <w:t>bankruptcy</w:t>
      </w:r>
      <w:r>
        <w:rPr>
          <w:color w:val="6E6158"/>
          <w:spacing w:val="38"/>
        </w:rPr>
        <w:t> </w:t>
      </w:r>
      <w:r>
        <w:rPr>
          <w:color w:val="6E6158"/>
        </w:rPr>
        <w:t>litigation.</w:t>
      </w:r>
    </w:p>
    <w:p>
      <w:pPr>
        <w:pStyle w:val="BodyText"/>
        <w:spacing w:before="132"/>
        <w:jc w:val="both"/>
      </w:pPr>
      <w:r>
        <w:rPr>
          <w:color w:val="6E6158"/>
        </w:rPr>
        <w:t>Numerous</w:t>
      </w:r>
      <w:r>
        <w:rPr>
          <w:color w:val="6E6158"/>
          <w:spacing w:val="13"/>
        </w:rPr>
        <w:t> </w:t>
      </w:r>
      <w:r>
        <w:rPr>
          <w:color w:val="6E6158"/>
        </w:rPr>
        <w:t>commercial</w:t>
      </w:r>
      <w:r>
        <w:rPr>
          <w:color w:val="6E6158"/>
          <w:spacing w:val="13"/>
        </w:rPr>
        <w:t> </w:t>
      </w:r>
      <w:r>
        <w:rPr>
          <w:color w:val="6E6158"/>
        </w:rPr>
        <w:t>landlords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local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national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cases.</w:t>
      </w:r>
    </w:p>
    <w:p>
      <w:pPr>
        <w:pStyle w:val="BodyText"/>
        <w:spacing w:line="292" w:lineRule="auto" w:before="174"/>
        <w:ind w:right="418"/>
      </w:pPr>
      <w:r>
        <w:rPr>
          <w:color w:val="6E6158"/>
        </w:rPr>
        <w:t>Numerous potential purchasers submitting bids and negotiating agreements for the </w:t>
      </w:r>
      <w:r>
        <w:rPr>
          <w:color w:val="6E6158"/>
        </w:rPr>
        <w:t>purchase</w:t>
      </w:r>
      <w:r>
        <w:rPr>
          <w:color w:val="6E6158"/>
          <w:spacing w:val="80"/>
        </w:rPr>
        <w:t> </w:t>
      </w:r>
      <w:r>
        <w:rPr>
          <w:color w:val="6E6158"/>
        </w:rPr>
        <w:t>of assets in bankruptcies.</w:t>
      </w:r>
    </w:p>
    <w:p>
      <w:pPr>
        <w:pStyle w:val="BodyText"/>
        <w:spacing w:line="302" w:lineRule="auto" w:before="123"/>
        <w:ind w:right="418"/>
      </w:pPr>
      <w:r>
        <w:rPr>
          <w:color w:val="6E6158"/>
        </w:rPr>
        <w:t>The debtor, a restaurant chain, a publicly traded company, and its subsidiaries, </w:t>
      </w:r>
      <w:r>
        <w:rPr>
          <w:color w:val="6E6158"/>
        </w:rPr>
        <w:t>which confirmed a Chapter 11 plan of reorganization.</w:t>
      </w:r>
    </w:p>
    <w:p>
      <w:pPr>
        <w:pStyle w:val="BodyText"/>
        <w:spacing w:line="292" w:lineRule="auto" w:before="113"/>
        <w:ind w:right="418"/>
      </w:pPr>
      <w:r>
        <w:rPr>
          <w:color w:val="6E6158"/>
        </w:rPr>
        <w:t>The debtor, a lumber company, which confirmed a Chapter 11 plan and successfully addressed various environmental problems in its plan.</w:t>
      </w:r>
    </w:p>
    <w:p>
      <w:pPr>
        <w:pStyle w:val="BodyText"/>
        <w:spacing w:line="297" w:lineRule="auto" w:before="123"/>
        <w:ind w:right="418"/>
      </w:pPr>
      <w:r>
        <w:rPr>
          <w:color w:val="6E6158"/>
        </w:rPr>
        <w:t>An individual debtor before the United States Supreme Court in a 1992 landmark case involving the exemption or exclusion of an ERISA qualified pension plan from the </w:t>
      </w:r>
      <w:r>
        <w:rPr>
          <w:color w:val="6E6158"/>
        </w:rPr>
        <w:t>bankruptcy</w:t>
      </w:r>
      <w:r>
        <w:rPr>
          <w:color w:val="6E6158"/>
          <w:spacing w:val="40"/>
        </w:rPr>
        <w:t> </w:t>
      </w:r>
      <w:r>
        <w:rPr>
          <w:color w:val="6E6158"/>
        </w:rPr>
        <w:t>estate,</w:t>
      </w:r>
      <w:r>
        <w:rPr>
          <w:color w:val="6E6158"/>
          <w:spacing w:val="37"/>
        </w:rPr>
        <w:t> </w:t>
      </w:r>
      <w:r>
        <w:rPr>
          <w:color w:val="6E6158"/>
        </w:rPr>
        <w:t>wherein</w:t>
      </w:r>
      <w:r>
        <w:rPr>
          <w:color w:val="6E6158"/>
          <w:spacing w:val="37"/>
        </w:rPr>
        <w:t> </w:t>
      </w:r>
      <w:r>
        <w:rPr>
          <w:color w:val="6E6158"/>
        </w:rPr>
        <w:t>the</w:t>
      </w:r>
      <w:r>
        <w:rPr>
          <w:color w:val="6E6158"/>
          <w:spacing w:val="37"/>
        </w:rPr>
        <w:t> </w:t>
      </w:r>
      <w:r>
        <w:rPr>
          <w:color w:val="6E6158"/>
        </w:rPr>
        <w:t>Supreme</w:t>
      </w:r>
      <w:r>
        <w:rPr>
          <w:color w:val="6E6158"/>
          <w:spacing w:val="37"/>
        </w:rPr>
        <w:t> </w:t>
      </w:r>
      <w:r>
        <w:rPr>
          <w:color w:val="6E6158"/>
        </w:rPr>
        <w:t>Court</w:t>
      </w:r>
      <w:r>
        <w:rPr>
          <w:color w:val="6E6158"/>
          <w:spacing w:val="37"/>
        </w:rPr>
        <w:t> </w:t>
      </w:r>
      <w:r>
        <w:rPr>
          <w:color w:val="6E6158"/>
        </w:rPr>
        <w:t>overturned</w:t>
      </w:r>
      <w:r>
        <w:rPr>
          <w:color w:val="6E6158"/>
          <w:spacing w:val="37"/>
        </w:rPr>
        <w:t> </w:t>
      </w:r>
      <w:r>
        <w:rPr>
          <w:color w:val="6E6158"/>
        </w:rPr>
        <w:t>longstanding</w:t>
      </w:r>
      <w:r>
        <w:rPr>
          <w:color w:val="6E6158"/>
          <w:spacing w:val="37"/>
        </w:rPr>
        <w:t> </w:t>
      </w:r>
      <w:r>
        <w:rPr>
          <w:color w:val="6E6158"/>
        </w:rPr>
        <w:t>Ninth</w:t>
      </w:r>
      <w:r>
        <w:rPr>
          <w:color w:val="6E6158"/>
          <w:spacing w:val="37"/>
        </w:rPr>
        <w:t> </w:t>
      </w:r>
      <w:r>
        <w:rPr>
          <w:color w:val="6E6158"/>
        </w:rPr>
        <w:t>Circuit</w:t>
      </w:r>
      <w:r>
        <w:rPr>
          <w:color w:val="6E6158"/>
          <w:spacing w:val="37"/>
        </w:rPr>
        <w:t> </w:t>
      </w:r>
      <w:r>
        <w:rPr>
          <w:color w:val="6E6158"/>
        </w:rPr>
        <w:t>caste</w:t>
      </w:r>
      <w:r>
        <w:rPr>
          <w:color w:val="6E6158"/>
          <w:spacing w:val="37"/>
        </w:rPr>
        <w:t> </w:t>
      </w:r>
      <w:r>
        <w:rPr>
          <w:color w:val="6E6158"/>
        </w:rPr>
        <w:t>law.</w:t>
      </w:r>
    </w:p>
    <w:p>
      <w:pPr>
        <w:pStyle w:val="BodyText"/>
        <w:spacing w:before="107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CREDITORS'</w:t>
      </w:r>
      <w:r>
        <w:rPr>
          <w:color w:val="FF8100"/>
          <w:spacing w:val="8"/>
        </w:rPr>
        <w:t> </w:t>
      </w:r>
      <w:r>
        <w:rPr>
          <w:color w:val="FF8100"/>
        </w:rPr>
        <w:t>RIGHTS</w:t>
      </w:r>
      <w:r>
        <w:rPr>
          <w:color w:val="FF8100"/>
          <w:spacing w:val="9"/>
        </w:rPr>
        <w:t> </w:t>
      </w:r>
      <w:r>
        <w:rPr>
          <w:color w:val="FF8100"/>
        </w:rPr>
        <w:t>&amp;</w:t>
      </w:r>
      <w:r>
        <w:rPr>
          <w:color w:val="FF8100"/>
          <w:spacing w:val="8"/>
        </w:rPr>
        <w:t> </w:t>
      </w:r>
      <w:r>
        <w:rPr>
          <w:color w:val="FF8100"/>
        </w:rPr>
        <w:t>LENDER</w:t>
      </w:r>
      <w:r>
        <w:rPr>
          <w:color w:val="FF8100"/>
          <w:spacing w:val="9"/>
        </w:rPr>
        <w:t> </w:t>
      </w:r>
      <w:r>
        <w:rPr>
          <w:color w:val="FF8100"/>
        </w:rPr>
        <w:t>LEGAL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SERVICES</w:t>
      </w:r>
    </w:p>
    <w:p>
      <w:pPr>
        <w:pStyle w:val="BodyText"/>
        <w:spacing w:line="295" w:lineRule="auto" w:before="147"/>
        <w:ind w:right="150"/>
      </w:pPr>
      <w:r>
        <w:rPr>
          <w:color w:val="6E6158"/>
        </w:rPr>
        <w:t>In addition to general experience required in large business and reorganization projects, our</w:t>
      </w:r>
      <w:r>
        <w:rPr>
          <w:color w:val="6E6158"/>
          <w:spacing w:val="40"/>
        </w:rPr>
        <w:t> </w:t>
      </w:r>
      <w:r>
        <w:rPr>
          <w:color w:val="6E6158"/>
        </w:rPr>
        <w:t>creditor attorneys’ expertise also includes such areas as (i) fraudulent transfer analysis, (ii)</w:t>
      </w:r>
      <w:r>
        <w:rPr>
          <w:color w:val="6E6158"/>
          <w:spacing w:val="40"/>
        </w:rPr>
        <w:t> </w:t>
      </w:r>
      <w:r>
        <w:rPr>
          <w:color w:val="6E6158"/>
        </w:rPr>
        <w:t>negotiation and documentation of financing agreements, debt restructurings, loan workouts,</w:t>
      </w:r>
      <w:r>
        <w:rPr>
          <w:color w:val="6E6158"/>
          <w:spacing w:val="40"/>
        </w:rPr>
        <w:t> </w:t>
      </w:r>
      <w:r>
        <w:rPr>
          <w:color w:val="6E6158"/>
        </w:rPr>
        <w:t>cash collateral arrangements, and debtor-in-possession financing arrangements, (iii) </w:t>
      </w:r>
      <w:r>
        <w:rPr>
          <w:color w:val="6E6158"/>
        </w:rPr>
        <w:t>complex</w:t>
      </w:r>
      <w:r>
        <w:rPr>
          <w:color w:val="6E6158"/>
          <w:spacing w:val="40"/>
        </w:rPr>
        <w:t> </w:t>
      </w:r>
      <w:r>
        <w:rPr>
          <w:color w:val="6E6158"/>
        </w:rPr>
        <w:t>bankruptcy</w:t>
      </w:r>
      <w:r>
        <w:rPr>
          <w:color w:val="6E6158"/>
          <w:spacing w:val="29"/>
        </w:rPr>
        <w:t> </w:t>
      </w:r>
      <w:r>
        <w:rPr>
          <w:color w:val="6E6158"/>
        </w:rPr>
        <w:t>litigation,</w:t>
      </w:r>
      <w:r>
        <w:rPr>
          <w:color w:val="6E6158"/>
          <w:spacing w:val="29"/>
        </w:rPr>
        <w:t> </w:t>
      </w:r>
      <w:r>
        <w:rPr>
          <w:color w:val="6E6158"/>
        </w:rPr>
        <w:t>(iv)</w:t>
      </w:r>
      <w:r>
        <w:rPr>
          <w:color w:val="6E6158"/>
          <w:spacing w:val="29"/>
        </w:rPr>
        <w:t> </w:t>
      </w:r>
      <w:r>
        <w:rPr>
          <w:color w:val="6E6158"/>
        </w:rPr>
        <w:t>counseling</w:t>
      </w:r>
      <w:r>
        <w:rPr>
          <w:color w:val="6E6158"/>
          <w:spacing w:val="29"/>
        </w:rPr>
        <w:t> </w:t>
      </w:r>
      <w:r>
        <w:rPr>
          <w:color w:val="6E6158"/>
        </w:rPr>
        <w:t>with</w:t>
      </w:r>
      <w:r>
        <w:rPr>
          <w:color w:val="6E6158"/>
          <w:spacing w:val="29"/>
        </w:rPr>
        <w:t> </w:t>
      </w:r>
      <w:r>
        <w:rPr>
          <w:color w:val="6E6158"/>
        </w:rPr>
        <w:t>respect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transfers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claims</w:t>
      </w:r>
      <w:r>
        <w:rPr>
          <w:color w:val="6E6158"/>
          <w:spacing w:val="29"/>
        </w:rPr>
        <w:t> </w:t>
      </w:r>
      <w:r>
        <w:rPr>
          <w:color w:val="6E6158"/>
        </w:rPr>
        <w:t>against</w:t>
      </w:r>
      <w:r>
        <w:rPr>
          <w:color w:val="6E6158"/>
          <w:spacing w:val="29"/>
        </w:rPr>
        <w:t> </w:t>
      </w:r>
      <w:r>
        <w:rPr>
          <w:color w:val="6E6158"/>
        </w:rPr>
        <w:t>or</w:t>
      </w:r>
      <w:r>
        <w:rPr>
          <w:color w:val="6E6158"/>
          <w:spacing w:val="29"/>
        </w:rPr>
        <w:t> </w:t>
      </w:r>
      <w:r>
        <w:rPr>
          <w:color w:val="6E6158"/>
        </w:rPr>
        <w:t>interests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</w:p>
    <w:p>
      <w:pPr>
        <w:pStyle w:val="BodyText"/>
        <w:spacing w:line="292" w:lineRule="auto" w:before="7"/>
      </w:pPr>
      <w:r>
        <w:rPr>
          <w:color w:val="6E6158"/>
        </w:rPr>
        <w:t>bankrupt entities, (v) formulation, negotiation and promulgation of plans of reorganization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related documents, (vi) reviewing and issuing non-substantive consolidation opinions, and (vii)</w:t>
      </w:r>
      <w:r>
        <w:rPr>
          <w:color w:val="6E6158"/>
          <w:spacing w:val="40"/>
        </w:rPr>
        <w:t> </w:t>
      </w:r>
      <w:r>
        <w:rPr>
          <w:color w:val="6E6158"/>
        </w:rPr>
        <w:t>representing clients with environmental claims in bankruptcy cases.</w:t>
      </w:r>
    </w:p>
    <w:p>
      <w:pPr>
        <w:pStyle w:val="BodyText"/>
        <w:spacing w:line="302" w:lineRule="auto" w:before="198"/>
        <w:ind w:right="150"/>
      </w:pPr>
      <w:r>
        <w:rPr>
          <w:color w:val="6E6158"/>
        </w:rPr>
        <w:t>Our debt collection law expertise also includes such areas as (i) deed of trust sales, (ii) foreclosures,</w:t>
      </w:r>
      <w:r>
        <w:rPr>
          <w:color w:val="6E6158"/>
          <w:spacing w:val="13"/>
        </w:rPr>
        <w:t> </w:t>
      </w:r>
      <w:r>
        <w:rPr>
          <w:color w:val="6E6158"/>
        </w:rPr>
        <w:t>(iii)</w:t>
      </w:r>
      <w:r>
        <w:rPr>
          <w:color w:val="6E6158"/>
          <w:spacing w:val="14"/>
        </w:rPr>
        <w:t> </w:t>
      </w:r>
      <w:r>
        <w:rPr>
          <w:color w:val="6E6158"/>
        </w:rPr>
        <w:t>deeds-in-lieu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foreclosure,</w:t>
      </w:r>
      <w:r>
        <w:rPr>
          <w:color w:val="6E6158"/>
          <w:spacing w:val="14"/>
        </w:rPr>
        <w:t> </w:t>
      </w:r>
      <w:r>
        <w:rPr>
          <w:color w:val="6E6158"/>
        </w:rPr>
        <w:t>(iv)</w:t>
      </w:r>
      <w:r>
        <w:rPr>
          <w:color w:val="6E6158"/>
          <w:spacing w:val="14"/>
        </w:rPr>
        <w:t> </w:t>
      </w:r>
      <w:r>
        <w:rPr>
          <w:color w:val="6E6158"/>
        </w:rPr>
        <w:t>appointment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receivers</w:t>
      </w:r>
      <w:r>
        <w:rPr>
          <w:color w:val="6E6158"/>
          <w:spacing w:val="14"/>
        </w:rPr>
        <w:t> </w:t>
      </w:r>
      <w:r>
        <w:rPr>
          <w:color w:val="6E6158"/>
        </w:rPr>
        <w:t>(v)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replevin,</w:t>
      </w:r>
    </w:p>
    <w:p>
      <w:pPr>
        <w:pStyle w:val="BodyText"/>
        <w:spacing w:line="297" w:lineRule="auto"/>
      </w:pPr>
      <w:r>
        <w:rPr>
          <w:color w:val="6E6158"/>
        </w:rPr>
        <w:t>garnishment and attachment proceedings, pre-judgment and post-judgment, (vi) </w:t>
      </w:r>
      <w:r>
        <w:rPr>
          <w:color w:val="6E6158"/>
        </w:rPr>
        <w:t>collection</w:t>
      </w:r>
      <w:r>
        <w:rPr>
          <w:color w:val="6E6158"/>
          <w:spacing w:val="40"/>
        </w:rPr>
        <w:t> </w:t>
      </w:r>
      <w:r>
        <w:rPr>
          <w:color w:val="6E6158"/>
        </w:rPr>
        <w:t>actions, (vii) guaranty suits, (vii) Uniform Commercial Code issues and sales, and (ix) other</w:t>
      </w:r>
      <w:r>
        <w:rPr>
          <w:color w:val="6E6158"/>
          <w:spacing w:val="40"/>
        </w:rPr>
        <w:t> </w:t>
      </w:r>
      <w:r>
        <w:rPr>
          <w:color w:val="6E6158"/>
        </w:rPr>
        <w:t>commercial litigation matters.</w:t>
      </w:r>
    </w:p>
    <w:p>
      <w:pPr>
        <w:pStyle w:val="Heading4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3667122</wp:posOffset>
                </wp:positionH>
                <wp:positionV relativeFrom="paragraph">
                  <wp:posOffset>247145</wp:posOffset>
                </wp:positionV>
                <wp:extent cx="36195" cy="1079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1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10795">
                              <a:moveTo>
                                <a:pt x="35981" y="10334"/>
                              </a:moveTo>
                              <a:lnTo>
                                <a:pt x="0" y="10334"/>
                              </a:lnTo>
                              <a:lnTo>
                                <a:pt x="0" y="0"/>
                              </a:lnTo>
                              <a:lnTo>
                                <a:pt x="35981" y="0"/>
                              </a:lnTo>
                              <a:lnTo>
                                <a:pt x="35981" y="10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61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8.749817pt;margin-top:19.460266pt;width:2.833207pt;height:.81375pt;mso-position-horizontal-relative:page;mso-position-vertical-relative:paragraph;z-index:15730688" id="docshape7" filled="true" fillcolor="#6e6158" stroked="false">
                <v:fill type="solid"/>
                <w10:wrap type="none"/>
              </v:rect>
            </w:pict>
          </mc:Fallback>
        </mc:AlternateContent>
      </w:r>
      <w:r>
        <w:rPr>
          <w:color w:val="6E6158"/>
          <w:u w:val="single" w:color="6E6158"/>
        </w:rPr>
        <w:t>Creditors’</w:t>
      </w:r>
      <w:r>
        <w:rPr>
          <w:color w:val="6E6158"/>
          <w:spacing w:val="15"/>
          <w:u w:val="single" w:color="6E6158"/>
        </w:rPr>
        <w:t> </w:t>
      </w:r>
      <w:r>
        <w:rPr>
          <w:color w:val="6E6158"/>
          <w:u w:val="single" w:color="6E6158"/>
        </w:rPr>
        <w:t>R</w:t>
      </w:r>
      <w:r>
        <w:rPr>
          <w:color w:val="6E6158"/>
          <w:u w:val="none"/>
        </w:rPr>
        <w:t>ig</w:t>
      </w:r>
      <w:r>
        <w:rPr>
          <w:color w:val="6E6158"/>
          <w:u w:val="single" w:color="6E6158"/>
        </w:rPr>
        <w:t>hts</w:t>
      </w:r>
      <w:r>
        <w:rPr>
          <w:color w:val="6E6158"/>
          <w:spacing w:val="15"/>
          <w:u w:val="single" w:color="6E6158"/>
        </w:rPr>
        <w:t> </w:t>
      </w:r>
      <w:r>
        <w:rPr>
          <w:color w:val="6E6158"/>
          <w:u w:val="single" w:color="6E6158"/>
        </w:rPr>
        <w:t>Matters</w:t>
      </w:r>
      <w:r>
        <w:rPr>
          <w:color w:val="6E6158"/>
          <w:spacing w:val="15"/>
          <w:u w:val="single" w:color="6E6158"/>
        </w:rPr>
        <w:t> </w:t>
      </w:r>
      <w:r>
        <w:rPr>
          <w:color w:val="6E6158"/>
          <w:u w:val="single" w:color="6E6158"/>
        </w:rPr>
        <w:t>Handled</w:t>
      </w:r>
      <w:r>
        <w:rPr>
          <w:color w:val="6E6158"/>
          <w:spacing w:val="15"/>
          <w:u w:val="single" w:color="6E6158"/>
        </w:rPr>
        <w:t> </w:t>
      </w:r>
      <w:r>
        <w:rPr>
          <w:color w:val="6E6158"/>
          <w:u w:val="none"/>
        </w:rPr>
        <w:t>(</w:t>
      </w:r>
      <w:r>
        <w:rPr>
          <w:color w:val="6E6158"/>
          <w:u w:val="single" w:color="6E6158"/>
        </w:rPr>
        <w:t>Partial</w:t>
      </w:r>
      <w:r>
        <w:rPr>
          <w:color w:val="6E6158"/>
          <w:spacing w:val="15"/>
          <w:u w:val="single" w:color="6E6158"/>
        </w:rPr>
        <w:t> </w:t>
      </w:r>
      <w:r>
        <w:rPr>
          <w:color w:val="6E6158"/>
          <w:spacing w:val="-2"/>
          <w:u w:val="single" w:color="6E6158"/>
        </w:rPr>
        <w:t>List</w:t>
      </w:r>
      <w:r>
        <w:rPr>
          <w:color w:val="6E6158"/>
          <w:spacing w:val="-2"/>
          <w:u w:val="none"/>
        </w:rPr>
        <w:t>):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  <w:spacing w:line="292" w:lineRule="auto"/>
      </w:pPr>
      <w:r>
        <w:rPr>
          <w:color w:val="6E6158"/>
        </w:rPr>
        <w:t>A lender in the repossession of four television stations in Alaska, including the appointment of a</w:t>
      </w:r>
      <w:r>
        <w:rPr>
          <w:color w:val="6E6158"/>
          <w:spacing w:val="40"/>
        </w:rPr>
        <w:t> </w:t>
      </w:r>
      <w:r>
        <w:rPr>
          <w:color w:val="6E6158"/>
        </w:rPr>
        <w:t>receiver and the liquidation of the assets and the FCC licenses.</w:t>
      </w:r>
    </w:p>
    <w:p>
      <w:pPr>
        <w:pStyle w:val="BodyText"/>
        <w:spacing w:line="292" w:lineRule="auto" w:before="131"/>
      </w:pPr>
      <w:r>
        <w:rPr>
          <w:color w:val="6E6158"/>
        </w:rPr>
        <w:t>A lender in the repossession and liquidation of grocery stores in the Southeast, including the</w:t>
      </w:r>
      <w:r>
        <w:rPr>
          <w:color w:val="6E6158"/>
          <w:spacing w:val="40"/>
        </w:rPr>
        <w:t> </w:t>
      </w:r>
      <w:r>
        <w:rPr>
          <w:color w:val="6E6158"/>
        </w:rPr>
        <w:t>appointment of a receiver and suits on the guarantees.</w:t>
      </w:r>
    </w:p>
    <w:p>
      <w:pPr>
        <w:pStyle w:val="BodyText"/>
        <w:spacing w:line="420" w:lineRule="auto" w:before="123"/>
        <w:ind w:right="3146"/>
      </w:pPr>
      <w:r>
        <w:rPr>
          <w:color w:val="6E6158"/>
        </w:rPr>
        <w:t>A lender in the restructuring of a loan with a major railroad line.</w:t>
      </w:r>
      <w:r>
        <w:rPr>
          <w:color w:val="6E6158"/>
          <w:spacing w:val="40"/>
        </w:rPr>
        <w:t> </w:t>
      </w:r>
      <w:r>
        <w:rPr>
          <w:color w:val="6E6158"/>
        </w:rPr>
        <w:t>A lender in the workout and restructuring of aircraft leases.</w:t>
      </w:r>
    </w:p>
    <w:p>
      <w:pPr>
        <w:pStyle w:val="BodyText"/>
        <w:spacing w:before="7"/>
      </w:pPr>
      <w:r>
        <w:rPr>
          <w:color w:val="6E6158"/>
        </w:rPr>
        <w:t>A</w:t>
      </w:r>
      <w:r>
        <w:rPr>
          <w:color w:val="6E6158"/>
          <w:spacing w:val="8"/>
        </w:rPr>
        <w:t> </w:t>
      </w:r>
      <w:r>
        <w:rPr>
          <w:color w:val="6E6158"/>
        </w:rPr>
        <w:t>lender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replevin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an</w:t>
      </w:r>
      <w:r>
        <w:rPr>
          <w:color w:val="6E6158"/>
          <w:spacing w:val="9"/>
        </w:rPr>
        <w:t> </w:t>
      </w:r>
      <w:r>
        <w:rPr>
          <w:color w:val="6E6158"/>
        </w:rPr>
        <w:t>aircraft</w:t>
      </w:r>
      <w:r>
        <w:rPr>
          <w:color w:val="6E6158"/>
          <w:spacing w:val="9"/>
        </w:rPr>
        <w:t> </w:t>
      </w:r>
      <w:r>
        <w:rPr>
          <w:color w:val="6E6158"/>
        </w:rPr>
        <w:t>from</w:t>
      </w:r>
      <w:r>
        <w:rPr>
          <w:color w:val="6E6158"/>
          <w:spacing w:val="9"/>
        </w:rPr>
        <w:t> </w:t>
      </w:r>
      <w:r>
        <w:rPr>
          <w:color w:val="6E6158"/>
        </w:rPr>
        <w:t>a</w:t>
      </w:r>
      <w:r>
        <w:rPr>
          <w:color w:val="6E6158"/>
          <w:spacing w:val="9"/>
        </w:rPr>
        <w:t> </w:t>
      </w:r>
      <w:r>
        <w:rPr>
          <w:color w:val="6E6158"/>
        </w:rPr>
        <w:t>South</w:t>
      </w:r>
      <w:r>
        <w:rPr>
          <w:color w:val="6E6158"/>
          <w:spacing w:val="9"/>
        </w:rPr>
        <w:t> </w:t>
      </w:r>
      <w:r>
        <w:rPr>
          <w:color w:val="6E6158"/>
        </w:rPr>
        <w:t>American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carrier.</w:t>
      </w:r>
    </w:p>
    <w:p>
      <w:pPr>
        <w:pStyle w:val="BodyText"/>
        <w:spacing w:line="292" w:lineRule="auto" w:before="174"/>
        <w:ind w:right="418"/>
      </w:pPr>
      <w:r>
        <w:rPr>
          <w:color w:val="6E6158"/>
        </w:rPr>
        <w:t>A lender in the repossession and liquidation of a large conveyor manufacturing business</w:t>
      </w:r>
      <w:r>
        <w:rPr>
          <w:color w:val="6E6158"/>
          <w:spacing w:val="40"/>
        </w:rPr>
        <w:t> </w:t>
      </w:r>
      <w:r>
        <w:rPr>
          <w:color w:val="6E6158"/>
        </w:rPr>
        <w:t>located in the Southeast, including the appointment of a receiver and the liquidation of the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assets.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418"/>
      </w:pPr>
      <w:r>
        <w:rPr>
          <w:color w:val="6E6158"/>
        </w:rPr>
        <w:t>A lender in the workout and restructure of a loan involving several radio stations in the </w:t>
      </w:r>
      <w:r>
        <w:rPr>
          <w:color w:val="6E6158"/>
          <w:spacing w:val="-2"/>
        </w:rPr>
        <w:t>Midwest.</w:t>
      </w:r>
    </w:p>
    <w:p>
      <w:pPr>
        <w:pStyle w:val="BodyText"/>
        <w:spacing w:line="292" w:lineRule="auto" w:before="132"/>
        <w:ind w:right="418"/>
      </w:pPr>
      <w:r>
        <w:rPr>
          <w:color w:val="6E6158"/>
        </w:rPr>
        <w:t>A lender in the foreclosure of three mobile home parks in Florida and Arizona, together with</w:t>
      </w:r>
      <w:r>
        <w:rPr>
          <w:color w:val="6E6158"/>
          <w:spacing w:val="40"/>
        </w:rPr>
        <w:t> </w:t>
      </w:r>
      <w:r>
        <w:rPr>
          <w:color w:val="6E6158"/>
        </w:rPr>
        <w:t>two executive jet aircraft.</w:t>
      </w:r>
    </w:p>
    <w:p>
      <w:pPr>
        <w:pStyle w:val="BodyText"/>
        <w:spacing w:line="292" w:lineRule="auto" w:before="123"/>
      </w:pPr>
      <w:r>
        <w:rPr>
          <w:color w:val="6E6158"/>
        </w:rPr>
        <w:t>Lenders in foreclosing on hotel properties located in Arizona, including the appointment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receivers.</w:t>
      </w:r>
    </w:p>
    <w:p>
      <w:pPr>
        <w:pStyle w:val="BodyText"/>
        <w:spacing w:line="292" w:lineRule="auto" w:before="131"/>
        <w:ind w:right="150"/>
      </w:pPr>
      <w:r>
        <w:rPr>
          <w:color w:val="6E6158"/>
        </w:rPr>
        <w:t>A lender in restructuring the working capital and term loan facility of an environmental</w:t>
      </w:r>
      <w:r>
        <w:rPr>
          <w:color w:val="6E6158"/>
          <w:spacing w:val="40"/>
        </w:rPr>
        <w:t> </w:t>
      </w:r>
      <w:r>
        <w:rPr>
          <w:color w:val="6E6158"/>
        </w:rPr>
        <w:t>remediation company located in the South.</w:t>
      </w:r>
    </w:p>
    <w:p>
      <w:pPr>
        <w:pStyle w:val="BodyText"/>
        <w:spacing w:line="292" w:lineRule="auto" w:before="124"/>
      </w:pPr>
      <w:r>
        <w:rPr>
          <w:color w:val="6E6158"/>
        </w:rPr>
        <w:t>A lender in the restructure and eventual orderly liquidation of interval ownership projects in the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Southeast.</w:t>
      </w:r>
    </w:p>
    <w:p>
      <w:pPr>
        <w:pStyle w:val="BodyText"/>
        <w:spacing w:line="292" w:lineRule="auto" w:before="131"/>
      </w:pPr>
      <w:r>
        <w:rPr>
          <w:color w:val="6E6158"/>
        </w:rPr>
        <w:t>A lender in restructuring the working capital facility of a medium-sized </w:t>
      </w:r>
      <w:r>
        <w:rPr>
          <w:color w:val="6E6158"/>
        </w:rPr>
        <w:t>Midwest telecommunications company.</w:t>
      </w:r>
    </w:p>
    <w:p>
      <w:pPr>
        <w:pStyle w:val="BodyText"/>
        <w:spacing w:line="292" w:lineRule="auto" w:before="123"/>
        <w:ind w:right="418"/>
      </w:pPr>
      <w:r>
        <w:rPr>
          <w:color w:val="6E6158"/>
        </w:rPr>
        <w:t>A lender in the restructure of various loans and subsequent liquidation of collateral of </w:t>
      </w:r>
      <w:r>
        <w:rPr>
          <w:color w:val="6E6158"/>
        </w:rPr>
        <w:t>a medical professional corporation specializing in radial keratotomy.</w:t>
      </w:r>
    </w:p>
    <w:p>
      <w:pPr>
        <w:pStyle w:val="BodyText"/>
        <w:spacing w:line="292" w:lineRule="auto" w:before="132"/>
        <w:ind w:right="384"/>
      </w:pPr>
      <w:r>
        <w:rPr>
          <w:color w:val="6E6158"/>
        </w:rPr>
        <w:t>A lender in the restructure and eventual orderly liquidation of assets of a computer software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company.</w:t>
      </w:r>
    </w:p>
    <w:p>
      <w:pPr>
        <w:pStyle w:val="BodyText"/>
        <w:spacing w:line="427" w:lineRule="auto" w:before="123"/>
        <w:ind w:right="3146"/>
      </w:pPr>
      <w:r>
        <w:rPr>
          <w:color w:val="6E6158"/>
        </w:rPr>
        <w:t>A lender in the workout and liquidation of a ski resort in </w:t>
      </w:r>
      <w:r>
        <w:rPr>
          <w:color w:val="6E6158"/>
        </w:rPr>
        <w:t>Arizona.</w:t>
      </w:r>
      <w:r>
        <w:rPr>
          <w:color w:val="6E6158"/>
          <w:spacing w:val="40"/>
        </w:rPr>
        <w:t> </w:t>
      </w:r>
      <w:r>
        <w:rPr>
          <w:color w:val="6E6158"/>
        </w:rPr>
        <w:t>A lender in the workout of a baseball stadium loan.</w:t>
      </w:r>
    </w:p>
    <w:p>
      <w:pPr>
        <w:pStyle w:val="BodyText"/>
        <w:spacing w:line="226" w:lineRule="exact"/>
      </w:pPr>
      <w:r>
        <w:rPr>
          <w:color w:val="6E6158"/>
        </w:rPr>
        <w:t>Lenders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foreclosures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major</w:t>
      </w:r>
      <w:r>
        <w:rPr>
          <w:color w:val="6E6158"/>
          <w:spacing w:val="12"/>
        </w:rPr>
        <w:t> </w:t>
      </w:r>
      <w:r>
        <w:rPr>
          <w:color w:val="6E6158"/>
        </w:rPr>
        <w:t>high-rise</w:t>
      </w:r>
      <w:r>
        <w:rPr>
          <w:color w:val="6E6158"/>
          <w:spacing w:val="12"/>
        </w:rPr>
        <w:t> </w:t>
      </w:r>
      <w:r>
        <w:rPr>
          <w:color w:val="6E6158"/>
        </w:rPr>
        <w:t>office</w:t>
      </w:r>
      <w:r>
        <w:rPr>
          <w:color w:val="6E6158"/>
          <w:spacing w:val="11"/>
        </w:rPr>
        <w:t> </w:t>
      </w:r>
      <w:r>
        <w:rPr>
          <w:color w:val="6E6158"/>
        </w:rPr>
        <w:t>buildings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Arizona.</w:t>
      </w:r>
    </w:p>
    <w:p>
      <w:pPr>
        <w:pStyle w:val="BodyText"/>
        <w:spacing w:before="63"/>
        <w:ind w:left="0"/>
      </w:pPr>
    </w:p>
    <w:p>
      <w:pPr>
        <w:pStyle w:val="BodyText"/>
        <w:spacing w:line="295" w:lineRule="auto"/>
        <w:ind w:left="99" w:right="384"/>
      </w:pPr>
      <w:r>
        <w:rPr>
          <w:color w:val="6E6158"/>
        </w:rPr>
        <w:t>Bankruptcy, insolvency, workout and creditors’ rights matters require the legal services of debt</w:t>
      </w:r>
      <w:r>
        <w:rPr>
          <w:color w:val="6E6158"/>
          <w:spacing w:val="40"/>
        </w:rPr>
        <w:t> </w:t>
      </w:r>
      <w:r>
        <w:rPr>
          <w:color w:val="6E6158"/>
        </w:rPr>
        <w:t>lawyers in a multitude of substantive areas. With a wide range of bankruptcy legal services, we</w:t>
      </w:r>
      <w:r>
        <w:rPr>
          <w:color w:val="6E6158"/>
          <w:spacing w:val="40"/>
        </w:rPr>
        <w:t> </w:t>
      </w:r>
      <w:r>
        <w:rPr>
          <w:color w:val="6E6158"/>
        </w:rPr>
        <w:t>are uniquely suited to provide both general creditors’ rights expertise and expertise specific to</w:t>
      </w:r>
      <w:r>
        <w:rPr>
          <w:color w:val="6E6158"/>
          <w:spacing w:val="40"/>
        </w:rPr>
        <w:t> </w:t>
      </w:r>
      <w:r>
        <w:rPr>
          <w:color w:val="6E6158"/>
        </w:rPr>
        <w:t>the needs of the client.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94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4"/>
      <w:jc w:val="center"/>
      <w:outlineLvl w:val="1"/>
    </w:pPr>
    <w:rPr>
      <w:rFonts w:ascii="Century Gothic" w:hAnsi="Century Gothic" w:eastAsia="Century Gothic" w:cs="Century Gothic"/>
      <w:b/>
      <w:bCs/>
      <w:sz w:val="42"/>
      <w:szCs w:val="4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right="4"/>
      <w:jc w:val="center"/>
      <w:outlineLvl w:val="3"/>
    </w:pPr>
    <w:rPr>
      <w:rFonts w:ascii="Century Gothic" w:hAnsi="Century Gothic" w:eastAsia="Century Gothic" w:cs="Century Gothic"/>
      <w:b/>
      <w:bCs/>
      <w:sz w:val="20"/>
      <w:szCs w:val="2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82"/>
      <w:ind w:left="99"/>
      <w:outlineLvl w:val="4"/>
    </w:pPr>
    <w:rPr>
      <w:rFonts w:ascii="Century Gothic" w:hAnsi="Century Gothic" w:eastAsia="Century Gothic" w:cs="Century Gothic"/>
      <w:b/>
      <w:bCs/>
      <w:sz w:val="19"/>
      <w:szCs w:val="19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yperlink" Target="https://www.fennemorelaw.com/services/financial-restructuring-bankruptcy-creditors-rights/" TargetMode="External"/><Relationship Id="rId10" Type="http://schemas.openxmlformats.org/officeDocument/2006/relationships/hyperlink" Target="https://www.fennemorelaw.com/services/business-litigation/" TargetMode="External"/><Relationship Id="rId11" Type="http://schemas.openxmlformats.org/officeDocument/2006/relationships/hyperlink" Target="https://www.fennemorelaw.com/people/attorneys/anthony-w-austin/" TargetMode="External"/><Relationship Id="rId12" Type="http://schemas.openxmlformats.org/officeDocument/2006/relationships/hyperlink" Target="https://www.fennemorelaw.com/contact-us/#phoenix" TargetMode="External"/><Relationship Id="rId13" Type="http://schemas.openxmlformats.org/officeDocument/2006/relationships/hyperlink" Target="mailto:aaustin@fennemorelaw.com" TargetMode="External"/><Relationship Id="rId14" Type="http://schemas.openxmlformats.org/officeDocument/2006/relationships/image" Target="media/image4.png"/><Relationship Id="rId15" Type="http://schemas.openxmlformats.org/officeDocument/2006/relationships/hyperlink" Target="https://www.fennemorelaw.com/services/business-and-finance/" TargetMode="External"/><Relationship Id="rId16" Type="http://schemas.openxmlformats.org/officeDocument/2006/relationships/hyperlink" Target="https://www.fennemorelaw.com/people/attorneys/christopher-v-hawkins/" TargetMode="External"/><Relationship Id="rId17" Type="http://schemas.openxmlformats.org/officeDocument/2006/relationships/hyperlink" Target="https://www.fennemorelaw.com/contact-us/#san-diego" TargetMode="External"/><Relationship Id="rId18" Type="http://schemas.openxmlformats.org/officeDocument/2006/relationships/hyperlink" Target="mailto:chawkins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Bankruptcy, Creditors’ Rights &amp; Insolvency - Fennemore</dc:title>
  <dcterms:created xsi:type="dcterms:W3CDTF">2026-08-31T20:47:59Z</dcterms:created>
  <dcterms:modified xsi:type="dcterms:W3CDTF">2026-08-31T20:47:59Z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2026-08-31T00:00:00Z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2026-08-31T00:00:00Z</vt:filetime>
  </property>
  <property fmtid="{D5CDD505-2E9C-101B-9397-08002B2CF9AE}" pid="6" name="Producer">
    <vt:lpwstr>Skia/PDF m151</vt:lpwstr>
  </property>
</Properties>
</file>