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ohn Pearc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18929" y="1369338"/>
                            <a:ext cx="20726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320675">
                                <a:moveTo>
                                  <a:pt x="207209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72093" y="320382"/>
                                </a:lnTo>
                                <a:lnTo>
                                  <a:pt x="2072093" y="315214"/>
                                </a:lnTo>
                                <a:close/>
                              </a:path>
                              <a:path w="2072639" h="320675">
                                <a:moveTo>
                                  <a:pt x="2072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72093" y="5168"/>
                                </a:lnTo>
                                <a:lnTo>
                                  <a:pt x="207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18455" y="763308"/>
                            <a:ext cx="208343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JOHN 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PEARCE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4349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38748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5737" y="2226505"/>
                            <a:ext cx="14890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jpearce@fennemorelaw.com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John Pearce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77;top:-2501;width:3264;height:505" id="docshape5" coordorigin="6878,-2500" coordsize="3264,505" path="m10141,-2004l6878,-2004,6878,-1996,10141,-1996,10141,-2004xm10141,-2500l6878,-2500,6878,-2492,10141,-2492,10141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77;top:-3455;width:3281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JOHN 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PEARCE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96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602.916.5376</w:t>
                        </w:r>
                      </w:p>
                    </w:txbxContent>
                  </v:textbox>
                  <w10:wrap type="none"/>
                </v:shape>
                <v:shape style="position:absolute;left:8798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602.916.5576</w:t>
                        </w:r>
                      </w:p>
                    </w:txbxContent>
                  </v:textbox>
                  <w10:wrap type="none"/>
                </v:shape>
                <v:shape style="position:absolute;left:7345;top:-1151;width:234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jpearce@fennemorelaw.com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JOHN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PEARCE</w:t>
      </w:r>
    </w:p>
    <w:p>
      <w:pPr>
        <w:pStyle w:val="BodyText"/>
        <w:spacing w:line="302" w:lineRule="auto" w:before="147"/>
        <w:ind w:left="99" w:right="200"/>
      </w:pPr>
      <w:r>
        <w:rPr>
          <w:color w:val="6E6158"/>
        </w:rPr>
        <w:t>John practices environmental and real estate law, with a focus on the oil industry and retail</w:t>
      </w:r>
      <w:r>
        <w:rPr>
          <w:color w:val="6E6158"/>
          <w:spacing w:val="40"/>
        </w:rPr>
        <w:t> </w:t>
      </w:r>
      <w:r>
        <w:rPr>
          <w:color w:val="6E6158"/>
        </w:rPr>
        <w:t>leasing,</w:t>
      </w:r>
      <w:r>
        <w:rPr>
          <w:color w:val="6E6158"/>
          <w:spacing w:val="13"/>
        </w:rPr>
        <w:t> </w:t>
      </w:r>
      <w:r>
        <w:rPr>
          <w:color w:val="6E6158"/>
        </w:rPr>
        <w:t>purchases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divestments.</w:t>
      </w:r>
      <w:r>
        <w:rPr>
          <w:color w:val="6E6158"/>
          <w:spacing w:val="13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has</w:t>
      </w:r>
      <w:r>
        <w:rPr>
          <w:color w:val="6E6158"/>
          <w:spacing w:val="13"/>
        </w:rPr>
        <w:t> </w:t>
      </w:r>
      <w:r>
        <w:rPr>
          <w:color w:val="6E6158"/>
        </w:rPr>
        <w:t>substantial</w:t>
      </w:r>
      <w:r>
        <w:rPr>
          <w:color w:val="6E6158"/>
          <w:spacing w:val="13"/>
        </w:rPr>
        <w:t> </w:t>
      </w:r>
      <w:r>
        <w:rPr>
          <w:color w:val="6E6158"/>
        </w:rPr>
        <w:t>experience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matters</w:t>
      </w:r>
      <w:r>
        <w:rPr>
          <w:color w:val="6E6158"/>
          <w:spacing w:val="13"/>
        </w:rPr>
        <w:t> </w:t>
      </w:r>
      <w:r>
        <w:rPr>
          <w:color w:val="6E6158"/>
        </w:rPr>
        <w:t>relating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2" w:lineRule="auto"/>
        <w:ind w:left="99" w:right="212"/>
      </w:pPr>
      <w:r>
        <w:rPr>
          <w:color w:val="6E6158"/>
        </w:rPr>
        <w:t>convenience store/motor fuel industry, gasoline and other products pipelines, and under-</w:t>
      </w:r>
      <w:r>
        <w:rPr>
          <w:color w:val="6E6158"/>
        </w:rPr>
        <w:t>ground</w:t>
      </w:r>
      <w:r>
        <w:rPr>
          <w:color w:val="6E6158"/>
          <w:spacing w:val="40"/>
        </w:rPr>
        <w:t> </w:t>
      </w:r>
      <w:r>
        <w:rPr>
          <w:color w:val="6E6158"/>
        </w:rPr>
        <w:t>storage tanks.</w:t>
      </w:r>
    </w:p>
    <w:p>
      <w:pPr>
        <w:pStyle w:val="BodyText"/>
        <w:spacing w:line="292" w:lineRule="auto" w:before="195"/>
        <w:ind w:left="99" w:right="200"/>
      </w:pPr>
      <w:r>
        <w:rPr>
          <w:color w:val="6E6158"/>
        </w:rPr>
        <w:t>John is very experienced in CERCLA, RCRA and other State and Federal enforcement litigation</w:t>
      </w:r>
      <w:r>
        <w:rPr>
          <w:color w:val="6E6158"/>
          <w:spacing w:val="40"/>
        </w:rPr>
        <w:t> </w:t>
      </w:r>
      <w:r>
        <w:rPr>
          <w:color w:val="6E6158"/>
        </w:rPr>
        <w:t>matters and represents clients in both Arizona and Nevada. In addition to handling </w:t>
      </w:r>
      <w:r>
        <w:rPr>
          <w:color w:val="6E6158"/>
        </w:rPr>
        <w:t>transactions</w:t>
      </w:r>
      <w:r>
        <w:rPr>
          <w:color w:val="6E6158"/>
          <w:spacing w:val="40"/>
        </w:rPr>
        <w:t> </w:t>
      </w:r>
      <w:r>
        <w:rPr>
          <w:color w:val="6E6158"/>
        </w:rPr>
        <w:t>and disputes between private parties, John interfaces often in both states with regulators and</w:t>
      </w:r>
      <w:r>
        <w:rPr>
          <w:color w:val="6E6158"/>
          <w:spacing w:val="40"/>
        </w:rPr>
        <w:t> </w:t>
      </w:r>
      <w:r>
        <w:rPr>
          <w:color w:val="6E6158"/>
        </w:rPr>
        <w:t>governmental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investigations,</w:t>
      </w:r>
      <w:r>
        <w:rPr>
          <w:color w:val="6E6158"/>
          <w:spacing w:val="40"/>
        </w:rPr>
        <w:t>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</w:rPr>
        <w:t>matters,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prosecutions.</w:t>
      </w:r>
    </w:p>
    <w:p>
      <w:pPr>
        <w:pStyle w:val="Heading2"/>
        <w:spacing w:before="17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Oregon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08" w:lineRule="auto" w:before="164"/>
        <w:ind w:left="99" w:right="4611"/>
      </w:pPr>
      <w:r>
        <w:rPr>
          <w:color w:val="6E6158"/>
        </w:rPr>
        <w:t>B.A., </w:t>
      </w:r>
      <w:r>
        <w:rPr>
          <w:i/>
          <w:color w:val="6E6158"/>
          <w:sz w:val="20"/>
        </w:rPr>
        <w:t>cum laude</w:t>
      </w:r>
      <w:r>
        <w:rPr>
          <w:color w:val="6E6158"/>
        </w:rPr>
        <w:t>, Washington State </w:t>
      </w:r>
      <w:r>
        <w:rPr>
          <w:color w:val="6E6158"/>
        </w:rPr>
        <w:t>University</w:t>
      </w:r>
      <w:r>
        <w:rPr>
          <w:color w:val="6E6158"/>
        </w:rPr>
        <w:t> Order of the Coif</w:t>
      </w:r>
    </w:p>
    <w:p>
      <w:pPr>
        <w:spacing w:before="9"/>
        <w:ind w:left="99" w:right="0" w:firstLine="0"/>
        <w:jc w:val="left"/>
        <w:rPr>
          <w:sz w:val="19"/>
        </w:rPr>
      </w:pPr>
      <w:r>
        <w:rPr>
          <w:color w:val="6E6158"/>
          <w:spacing w:val="-2"/>
          <w:sz w:val="19"/>
        </w:rPr>
        <w:t>Editor,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pacing w:val="-2"/>
          <w:sz w:val="20"/>
        </w:rPr>
        <w:t>Oregon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Review,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pacing w:val="-4"/>
          <w:sz w:val="19"/>
        </w:rPr>
        <w:t>1988</w:t>
      </w:r>
    </w:p>
    <w:p>
      <w:pPr>
        <w:pStyle w:val="BodyText"/>
        <w:spacing w:before="16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427" w:lineRule="auto"/>
        <w:ind w:left="99" w:right="6747"/>
      </w:pPr>
      <w:r>
        <w:rPr>
          <w:color w:val="6E6158"/>
        </w:rPr>
        <w:t>Administrative </w:t>
      </w:r>
      <w:r>
        <w:rPr>
          <w:color w:val="6E6158"/>
        </w:rPr>
        <w:t>Law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15"/>
        <w:ind w:left="99" w:right="7540"/>
      </w:pPr>
      <w:r>
        <w:rPr>
          <w:color w:val="6E6158"/>
        </w:rPr>
        <w:t>Natural </w:t>
      </w:r>
      <w:r>
        <w:rPr>
          <w:color w:val="6E6158"/>
        </w:rPr>
        <w:t>Resources Real Estate Business Litigation</w:t>
      </w:r>
    </w:p>
    <w:p>
      <w:pPr>
        <w:pStyle w:val="BodyText"/>
        <w:spacing w:before="5"/>
        <w:ind w:left="99"/>
      </w:pPr>
      <w:r>
        <w:rPr>
          <w:color w:val="6E6158"/>
        </w:rPr>
        <w:t>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9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Environmental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Environmental,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2010-</w:t>
      </w:r>
      <w:r>
        <w:rPr>
          <w:color w:val="6E6158"/>
          <w:spacing w:val="-4"/>
          <w:sz w:val="19"/>
        </w:rPr>
        <w:t>2027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for </w:t>
      </w:r>
      <w:r>
        <w:rPr>
          <w:color w:val="6E6158"/>
          <w:spacing w:val="-2"/>
          <w:sz w:val="19"/>
        </w:rPr>
        <w:t>Business</w:t>
      </w:r>
    </w:p>
    <w:p>
      <w:pPr>
        <w:pStyle w:val="BodyText"/>
        <w:spacing w:before="172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212"/>
      </w:pPr>
      <w:hyperlink r:id="rId11">
        <w:r>
          <w:rPr>
            <w:color w:val="F5821F"/>
          </w:rPr>
          <w:t>Interview, “Know the client and be responsive to their needs,” Fennemore Blog, September 21,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20" w:lineRule="auto"/>
        <w:ind w:left="99" w:right="802"/>
      </w:pPr>
      <w:r>
        <w:rPr>
          <w:color w:val="6E6158"/>
        </w:rPr>
        <w:t>Chair, Underground Storage Tanks Subcommittee, Arizona Chamber of </w:t>
      </w:r>
      <w:r>
        <w:rPr>
          <w:color w:val="6E6158"/>
        </w:rPr>
        <w:t>Commerce Member, State Bar of Arizona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Past</w:t>
      </w:r>
      <w:r>
        <w:rPr>
          <w:color w:val="6E6158"/>
          <w:spacing w:val="13"/>
        </w:rPr>
        <w:t> </w:t>
      </w:r>
      <w:r>
        <w:rPr>
          <w:color w:val="6E6158"/>
        </w:rPr>
        <w:t>Chairman,</w:t>
      </w:r>
      <w:r>
        <w:rPr>
          <w:color w:val="6E6158"/>
          <w:spacing w:val="13"/>
        </w:rPr>
        <w:t> </w:t>
      </w:r>
      <w:r>
        <w:rPr>
          <w:color w:val="6E6158"/>
        </w:rPr>
        <w:t>Environmental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Natural</w:t>
      </w:r>
      <w:r>
        <w:rPr>
          <w:color w:val="6E6158"/>
          <w:spacing w:val="13"/>
        </w:rPr>
        <w:t> </w:t>
      </w:r>
      <w:r>
        <w:rPr>
          <w:color w:val="6E6158"/>
        </w:rPr>
        <w:t>Resources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861"/>
      </w:pPr>
      <w:r>
        <w:rPr>
          <w:color w:val="6E6158"/>
          <w:spacing w:val="-2"/>
        </w:rPr>
        <w:t>Arizona Nevada</w:t>
      </w:r>
    </w:p>
    <w:p>
      <w:pPr>
        <w:pStyle w:val="BodyText"/>
        <w:spacing w:line="231" w:lineRule="exact"/>
        <w:ind w:left="99"/>
      </w:pPr>
      <w:r>
        <w:rPr>
          <w:color w:val="6E6158"/>
          <w:spacing w:val="-2"/>
        </w:rPr>
        <w:t>Washington</w:t>
      </w:r>
    </w:p>
    <w:sectPr>
      <w:pgSz w:w="12240" w:h="15840"/>
      <w:pgMar w:top="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pearce@fennemorelaw.com" TargetMode="External"/><Relationship Id="rId11" Type="http://schemas.openxmlformats.org/officeDocument/2006/relationships/hyperlink" Target="https://www.fennemorelaw.com/know-the-client-and-be-responsive-to-their-need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M. Pearce - Fennemore</dc:title>
  <dcterms:created xsi:type="dcterms:W3CDTF">2026-08-21T00:10:52Z</dcterms:created>
  <dcterms:modified xsi:type="dcterms:W3CDTF">2026-08-21T00:10:52Z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