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3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-3706182</wp:posOffset>
                </wp:positionV>
                <wp:extent cx="6071870" cy="363791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637915"/>
                          <a:chExt cx="6071870" cy="36379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Kate Bowles Bio NEW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33690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336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3369310">
                                <a:moveTo>
                                  <a:pt x="3033212" y="3369087"/>
                                </a:moveTo>
                                <a:lnTo>
                                  <a:pt x="0" y="336908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33690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72784" y="763308"/>
                            <a:ext cx="1574800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6" w:lineRule="auto" w:before="4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KATHERINE</w:t>
                              </w:r>
                              <w:r>
                                <w:rPr>
                                  <w:color w:val="FFFFFF"/>
                                  <w:spacing w:val="-25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39"/>
                                </w:rPr>
                                <w:t>A. BOWLES</w:t>
                              </w:r>
                            </w:p>
                            <w:p>
                              <w:pPr>
                                <w:spacing w:before="48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159767" y="2133494"/>
                            <a:ext cx="8007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Orange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County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949.430.3437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949.752.0953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394234" y="2603719"/>
                            <a:ext cx="3314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Fresno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582320" y="2763876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949.430.3437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4750778" y="2763876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949.752.0953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810650" y="2975766"/>
                            <a:ext cx="14992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1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kbowles@fennemorelaw.com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91.825378pt;width:478.1pt;height:286.45pt;mso-position-horizontal-relative:page;mso-position-vertical-relative:paragraph;z-index:15728640" id="docshapegroup1" coordorigin="1336,-5837" coordsize="9562,5729">
                <v:shape style="position:absolute;left:1336;top:-5837;width:2165;height:424" type="#_x0000_t75" id="docshape2" alt="Fennemore" href="https://www.fennemorelaw.com/" stroked="false">
                  <v:imagedata r:id="rId5" o:title=""/>
                </v:shape>
                <v:shape style="position:absolute;left:1336;top:-5414;width:4785;height:5306" type="#_x0000_t75" id="docshape3" alt="Kate Bowles Bio NEW" stroked="false">
                  <v:imagedata r:id="rId7" o:title=""/>
                </v:shape>
                <v:rect style="position:absolute;left:6121;top:-5414;width:4777;height:5306" id="docshape4" filled="true" fillcolor="#262424" stroked="false">
                  <v:fill type="solid"/>
                </v:rect>
                <v:shape style="position:absolute;left:6837;top:-3249;width:3337;height:505" id="docshape5" coordorigin="6837,-3249" coordsize="3337,505" path="m10174,-2752l6837,-2752,6837,-2744,10174,-2744,10174,-2752xm10174,-3249l6837,-3249,6837,-3241,10174,-3241,10174,-3249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77;top:-4635;width:2480;height:1731" type="#_x0000_t202" id="docshape6" filled="false" stroked="false">
                  <v:textbox inset="0,0,0,0">
                    <w:txbxContent>
                      <w:p>
                        <w:pPr>
                          <w:spacing w:line="216" w:lineRule="auto" w:before="4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KATHERINE</w:t>
                        </w:r>
                        <w:r>
                          <w:rPr>
                            <w:color w:val="FFFFFF"/>
                            <w:spacing w:val="-25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39"/>
                          </w:rPr>
                          <w:t>A. BOWLES</w:t>
                        </w:r>
                      </w:p>
                      <w:p>
                        <w:pPr>
                          <w:spacing w:before="48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7887;top:-2477;width:1261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z w:val="16"/>
                            </w:rPr>
                            <w:t>Orange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County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2225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949.430.3437</w:t>
                        </w:r>
                      </w:p>
                    </w:txbxContent>
                  </v:textbox>
                  <w10:wrap type="none"/>
                </v:shape>
                <v:shape style="position:absolute;left:8817;top:-2225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949.752.0953</w:t>
                        </w:r>
                      </w:p>
                    </w:txbxContent>
                  </v:textbox>
                  <w10:wrap type="none"/>
                </v:shape>
                <v:shape style="position:absolute;left:8256;top:-1737;width:522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Fresno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84;width:1258;height:210" type="#_x0000_t202" id="docshape11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949.430.3437</w:t>
                        </w:r>
                      </w:p>
                    </w:txbxContent>
                  </v:textbox>
                  <w10:wrap type="none"/>
                </v:shape>
                <v:shape style="position:absolute;left:8817;top:-1484;width:1240;height:210" type="#_x0000_t202" id="docshape12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949.752.0953</w:t>
                        </w:r>
                      </w:p>
                    </w:txbxContent>
                  </v:textbox>
                  <w10:wrap type="none"/>
                </v:shape>
                <v:shape style="position:absolute;left:7337;top:-1151;width:2361;height:200" type="#_x0000_t202" id="docshape13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1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kbowles@fennemorelaw.com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KATHERINE</w:t>
      </w:r>
      <w:r>
        <w:rPr>
          <w:color w:val="FF8100"/>
          <w:spacing w:val="8"/>
        </w:rPr>
        <w:t> </w:t>
      </w:r>
      <w:r>
        <w:rPr>
          <w:color w:val="FF8100"/>
        </w:rPr>
        <w:t>A.</w:t>
      </w:r>
      <w:r>
        <w:rPr>
          <w:color w:val="FF8100"/>
          <w:spacing w:val="8"/>
        </w:rPr>
        <w:t> </w:t>
      </w:r>
      <w:r>
        <w:rPr>
          <w:color w:val="FF8100"/>
          <w:spacing w:val="-2"/>
        </w:rPr>
        <w:t>BOWLES</w:t>
      </w:r>
    </w:p>
    <w:p>
      <w:pPr>
        <w:pStyle w:val="BodyText"/>
        <w:spacing w:line="295" w:lineRule="auto" w:before="147"/>
        <w:ind w:right="122"/>
      </w:pPr>
      <w:r>
        <w:rPr>
          <w:color w:val="6E6158"/>
        </w:rPr>
        <w:t>Kate Bowle’s law practice focuses on providing business solutions, including preventive and</w:t>
      </w:r>
      <w:r>
        <w:rPr>
          <w:color w:val="6E6158"/>
          <w:spacing w:val="40"/>
        </w:rPr>
        <w:t> </w:t>
      </w:r>
      <w:r>
        <w:rPr>
          <w:color w:val="6E6158"/>
        </w:rPr>
        <w:t>litigation strategies for health organizations, such as companies with large healthcare networks.</w:t>
      </w:r>
      <w:r>
        <w:rPr>
          <w:color w:val="6E6158"/>
          <w:spacing w:val="40"/>
        </w:rPr>
        <w:t> </w:t>
      </w:r>
      <w:r>
        <w:rPr>
          <w:color w:val="6E6158"/>
        </w:rPr>
        <w:t>Kate</w:t>
      </w:r>
      <w:r>
        <w:rPr>
          <w:color w:val="6E6158"/>
          <w:spacing w:val="26"/>
        </w:rPr>
        <w:t> </w:t>
      </w:r>
      <w:r>
        <w:rPr>
          <w:color w:val="6E6158"/>
        </w:rPr>
        <w:t>has</w:t>
      </w:r>
      <w:r>
        <w:rPr>
          <w:color w:val="6E6158"/>
          <w:spacing w:val="26"/>
        </w:rPr>
        <w:t> </w:t>
      </w:r>
      <w:r>
        <w:rPr>
          <w:color w:val="6E6158"/>
        </w:rPr>
        <w:t>spent</w:t>
      </w:r>
      <w:r>
        <w:rPr>
          <w:color w:val="6E6158"/>
          <w:spacing w:val="26"/>
        </w:rPr>
        <w:t> </w:t>
      </w:r>
      <w:r>
        <w:rPr>
          <w:color w:val="6E6158"/>
        </w:rPr>
        <w:t>15</w:t>
      </w:r>
      <w:r>
        <w:rPr>
          <w:color w:val="6E6158"/>
          <w:spacing w:val="26"/>
        </w:rPr>
        <w:t> </w:t>
      </w:r>
      <w:r>
        <w:rPr>
          <w:color w:val="6E6158"/>
        </w:rPr>
        <w:t>years</w:t>
      </w:r>
      <w:r>
        <w:rPr>
          <w:color w:val="6E6158"/>
          <w:spacing w:val="26"/>
        </w:rPr>
        <w:t> </w:t>
      </w:r>
      <w:r>
        <w:rPr>
          <w:color w:val="6E6158"/>
        </w:rPr>
        <w:t>immersed</w:t>
      </w:r>
      <w:r>
        <w:rPr>
          <w:color w:val="6E6158"/>
          <w:spacing w:val="26"/>
        </w:rPr>
        <w:t> </w:t>
      </w:r>
      <w:r>
        <w:rPr>
          <w:color w:val="6E6158"/>
        </w:rPr>
        <w:t>in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legalities</w:t>
      </w:r>
      <w:r>
        <w:rPr>
          <w:color w:val="6E6158"/>
          <w:spacing w:val="26"/>
        </w:rPr>
        <w:t> </w:t>
      </w:r>
      <w:r>
        <w:rPr>
          <w:color w:val="6E6158"/>
        </w:rPr>
        <w:t>of</w:t>
      </w:r>
      <w:r>
        <w:rPr>
          <w:color w:val="6E6158"/>
          <w:spacing w:val="26"/>
        </w:rPr>
        <w:t> </w:t>
      </w:r>
      <w:r>
        <w:rPr>
          <w:color w:val="6E6158"/>
        </w:rPr>
        <w:t>our</w:t>
      </w:r>
      <w:r>
        <w:rPr>
          <w:color w:val="6E6158"/>
          <w:spacing w:val="26"/>
        </w:rPr>
        <w:t> </w:t>
      </w:r>
      <w:r>
        <w:rPr>
          <w:color w:val="6E6158"/>
        </w:rPr>
        <w:t>federal,</w:t>
      </w:r>
      <w:r>
        <w:rPr>
          <w:color w:val="6E6158"/>
          <w:spacing w:val="26"/>
        </w:rPr>
        <w:t> </w:t>
      </w:r>
      <w:r>
        <w:rPr>
          <w:color w:val="6E6158"/>
        </w:rPr>
        <w:t>state,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local</w:t>
      </w:r>
      <w:r>
        <w:rPr>
          <w:color w:val="6E6158"/>
          <w:spacing w:val="26"/>
        </w:rPr>
        <w:t> </w:t>
      </w:r>
      <w:r>
        <w:rPr>
          <w:color w:val="6E6158"/>
        </w:rPr>
        <w:t>infrastructure and has touched on almost every subject within healthcare. During and before law school, Kate</w:t>
      </w:r>
      <w:r>
        <w:rPr>
          <w:color w:val="6E6158"/>
          <w:spacing w:val="40"/>
        </w:rPr>
        <w:t> </w:t>
      </w:r>
      <w:r>
        <w:rPr>
          <w:color w:val="6E6158"/>
        </w:rPr>
        <w:t>worked as a Registered Nurse in hospitals throughout Los Angeles County and helped manage a</w:t>
      </w:r>
      <w:r>
        <w:rPr>
          <w:color w:val="6E6158"/>
          <w:spacing w:val="40"/>
        </w:rPr>
        <w:t> </w:t>
      </w:r>
      <w:r>
        <w:rPr>
          <w:color w:val="6E6158"/>
        </w:rPr>
        <w:t>60-bed unit in an acute care hospital.</w:t>
      </w:r>
    </w:p>
    <w:p>
      <w:pPr>
        <w:pStyle w:val="BodyText"/>
        <w:spacing w:line="295" w:lineRule="auto" w:before="193"/>
        <w:ind w:right="338"/>
      </w:pPr>
      <w:r>
        <w:rPr>
          <w:color w:val="6E6158"/>
        </w:rPr>
        <w:t>Kate puts her clients first. Assisting clients with compliance, investigation, and enforcement of</w:t>
      </w:r>
      <w:r>
        <w:rPr>
          <w:color w:val="6E6158"/>
          <w:spacing w:val="40"/>
        </w:rPr>
        <w:t> </w:t>
      </w:r>
      <w:r>
        <w:rPr>
          <w:color w:val="6E6158"/>
        </w:rPr>
        <w:t>Medicare/Medi-Cal Fraud and Abuse, Stark Law\Anti-Kickback Statute, payor disputes, and</w:t>
      </w:r>
      <w:r>
        <w:rPr>
          <w:color w:val="6E6158"/>
          <w:spacing w:val="40"/>
        </w:rPr>
        <w:t> </w:t>
      </w:r>
      <w:r>
        <w:rPr>
          <w:color w:val="6E6158"/>
        </w:rPr>
        <w:t>business litigation, she has a passion for helping clients see the big picture within their organization and attempts to address compliance issues before they arise. Her </w:t>
      </w:r>
      <w:r>
        <w:rPr>
          <w:color w:val="6E6158"/>
        </w:rPr>
        <w:t>representations</w:t>
      </w:r>
      <w:r>
        <w:rPr>
          <w:color w:val="6E6158"/>
          <w:spacing w:val="40"/>
        </w:rPr>
        <w:t> </w:t>
      </w:r>
      <w:r>
        <w:rPr>
          <w:color w:val="6E6158"/>
        </w:rPr>
        <w:t>have focused on everything from impact litigation to corrective legislation to negotiating new</w:t>
      </w:r>
      <w:r>
        <w:rPr>
          <w:color w:val="6E6158"/>
          <w:spacing w:val="40"/>
        </w:rPr>
        <w:t> </w:t>
      </w:r>
      <w:r>
        <w:rPr>
          <w:color w:val="6E6158"/>
        </w:rPr>
        <w:t>contracts to achieving early settlement outside of court. When necessary, Kate takes matters</w:t>
      </w:r>
      <w:r>
        <w:rPr>
          <w:color w:val="6E6158"/>
          <w:spacing w:val="40"/>
        </w:rPr>
        <w:t> </w:t>
      </w:r>
      <w:r>
        <w:rPr>
          <w:color w:val="6E6158"/>
        </w:rPr>
        <w:t>through trial and up on appeal. Many of Kate’s clients are nontraditional; for example, she has</w:t>
      </w:r>
      <w:r>
        <w:rPr>
          <w:color w:val="6E6158"/>
          <w:spacing w:val="40"/>
        </w:rPr>
        <w:t> </w:t>
      </w:r>
      <w:r>
        <w:rPr>
          <w:color w:val="6E6158"/>
        </w:rPr>
        <w:t>helped</w:t>
      </w:r>
      <w:r>
        <w:rPr>
          <w:color w:val="6E6158"/>
          <w:spacing w:val="40"/>
        </w:rPr>
        <w:t> </w:t>
      </w:r>
      <w:r>
        <w:rPr>
          <w:color w:val="6E6158"/>
        </w:rPr>
        <w:t>many</w:t>
      </w:r>
      <w:r>
        <w:rPr>
          <w:color w:val="6E6158"/>
          <w:spacing w:val="40"/>
        </w:rPr>
        <w:t> </w:t>
      </w:r>
      <w:r>
        <w:rPr>
          <w:color w:val="6E6158"/>
        </w:rPr>
        <w:t>organizations</w:t>
      </w:r>
      <w:r>
        <w:rPr>
          <w:color w:val="6E6158"/>
          <w:spacing w:val="40"/>
        </w:rPr>
        <w:t> </w:t>
      </w:r>
      <w:r>
        <w:rPr>
          <w:color w:val="6E6158"/>
        </w:rPr>
        <w:t>structure</w:t>
      </w:r>
      <w:r>
        <w:rPr>
          <w:color w:val="6E6158"/>
          <w:spacing w:val="40"/>
        </w:rPr>
        <w:t> </w:t>
      </w:r>
      <w:r>
        <w:rPr>
          <w:color w:val="6E6158"/>
        </w:rPr>
        <w:t>compliant</w:t>
      </w:r>
      <w:r>
        <w:rPr>
          <w:color w:val="6E6158"/>
          <w:spacing w:val="40"/>
        </w:rPr>
        <w:t> </w:t>
      </w:r>
      <w:r>
        <w:rPr>
          <w:color w:val="6E6158"/>
        </w:rPr>
        <w:t>programs</w:t>
      </w:r>
      <w:r>
        <w:rPr>
          <w:color w:val="6E6158"/>
          <w:spacing w:val="40"/>
        </w:rPr>
        <w:t> </w:t>
      </w:r>
      <w:r>
        <w:rPr>
          <w:color w:val="6E6158"/>
        </w:rPr>
        <w:t>with</w:t>
      </w:r>
      <w:r>
        <w:rPr>
          <w:color w:val="6E6158"/>
          <w:spacing w:val="40"/>
        </w:rPr>
        <w:t> </w:t>
      </w:r>
      <w:r>
        <w:rPr>
          <w:color w:val="6E6158"/>
        </w:rPr>
        <w:t>California’s</w:t>
      </w:r>
      <w:r>
        <w:rPr>
          <w:color w:val="6E6158"/>
          <w:spacing w:val="40"/>
        </w:rPr>
        <w:t> </w:t>
      </w:r>
      <w:r>
        <w:rPr>
          <w:color w:val="6E6158"/>
        </w:rPr>
        <w:t>whole-person-centered care program through Medi-Cal. Representing a diversity of providers allows Kate to</w:t>
      </w:r>
      <w:r>
        <w:rPr>
          <w:color w:val="6E6158"/>
          <w:spacing w:val="40"/>
        </w:rPr>
        <w:t> </w:t>
      </w:r>
      <w:r>
        <w:rPr>
          <w:color w:val="6E6158"/>
        </w:rPr>
        <w:t>effectively evaluate the motivations of various participants within the healthcare industry and</w:t>
      </w:r>
      <w:r>
        <w:rPr>
          <w:color w:val="6E6158"/>
          <w:spacing w:val="40"/>
        </w:rPr>
        <w:t> </w:t>
      </w:r>
      <w:r>
        <w:rPr>
          <w:color w:val="6E6158"/>
        </w:rPr>
        <w:t>take advantage of emerging trends. Kate is also versed in artificial intelligence and uses these</w:t>
      </w:r>
      <w:r>
        <w:rPr>
          <w:color w:val="6E6158"/>
          <w:spacing w:val="40"/>
        </w:rPr>
        <w:t> </w:t>
      </w:r>
      <w:r>
        <w:rPr>
          <w:color w:val="6E6158"/>
        </w:rPr>
        <w:t>tools efficiently and confidentially to handle her clients’ needs.</w:t>
      </w:r>
    </w:p>
    <w:p>
      <w:pPr>
        <w:pStyle w:val="BodyText"/>
        <w:spacing w:line="292" w:lineRule="auto" w:before="207"/>
        <w:ind w:right="397"/>
      </w:pPr>
      <w:r>
        <w:rPr>
          <w:color w:val="6E6158"/>
        </w:rPr>
        <w:t>She is licensed throughout California, including the U.S. District Courts for the Eastern, </w:t>
      </w:r>
      <w:r>
        <w:rPr>
          <w:color w:val="6E6158"/>
        </w:rPr>
        <w:t>Central,</w:t>
      </w:r>
      <w:r>
        <w:rPr>
          <w:color w:val="6E6158"/>
          <w:spacing w:val="40"/>
        </w:rPr>
        <w:t> </w:t>
      </w:r>
      <w:r>
        <w:rPr>
          <w:color w:val="6E6158"/>
        </w:rPr>
        <w:t>and Southern Districts of California and the Ninth Circuit Court of Appeal.</w:t>
      </w:r>
    </w:p>
    <w:p>
      <w:pPr>
        <w:pStyle w:val="Heading1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pStyle w:val="BodyText"/>
        <w:rPr>
          <w:i/>
          <w:sz w:val="20"/>
        </w:rPr>
      </w:pPr>
      <w:r>
        <w:rPr>
          <w:color w:val="6E6158"/>
        </w:rPr>
        <w:t>J.D.,</w:t>
      </w:r>
      <w:r>
        <w:rPr>
          <w:color w:val="6E6158"/>
          <w:spacing w:val="8"/>
        </w:rPr>
        <w:t> </w:t>
      </w:r>
      <w:r>
        <w:rPr>
          <w:color w:val="6E6158"/>
        </w:rPr>
        <w:t>Pepperdine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9"/>
        </w:rPr>
        <w:t> </w:t>
      </w:r>
      <w:r>
        <w:rPr>
          <w:color w:val="6E6158"/>
        </w:rPr>
        <w:t>School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Law,</w:t>
      </w:r>
      <w:r>
        <w:rPr>
          <w:color w:val="6E6158"/>
          <w:spacing w:val="10"/>
        </w:rPr>
        <w:t> </w:t>
      </w:r>
      <w:r>
        <w:rPr>
          <w:i/>
          <w:color w:val="6E6158"/>
          <w:sz w:val="20"/>
        </w:rPr>
        <w:t>cum</w:t>
      </w:r>
      <w:r>
        <w:rPr>
          <w:i/>
          <w:color w:val="6E6158"/>
          <w:spacing w:val="6"/>
          <w:sz w:val="20"/>
        </w:rPr>
        <w:t> </w:t>
      </w:r>
      <w:r>
        <w:rPr>
          <w:i/>
          <w:color w:val="6E6158"/>
          <w:spacing w:val="-2"/>
          <w:sz w:val="20"/>
        </w:rPr>
        <w:t>laude</w:t>
      </w:r>
    </w:p>
    <w:p>
      <w:pPr>
        <w:pStyle w:val="BodyText"/>
        <w:spacing w:before="180"/>
      </w:pPr>
      <w:r>
        <w:rPr>
          <w:color w:val="6E6158"/>
        </w:rPr>
        <w:t>B.S.N.,</w:t>
      </w:r>
      <w:r>
        <w:rPr>
          <w:color w:val="6E6158"/>
          <w:spacing w:val="11"/>
        </w:rPr>
        <w:t> </w:t>
      </w:r>
      <w:r>
        <w:rPr>
          <w:color w:val="6E6158"/>
        </w:rPr>
        <w:t>University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Pennsylvania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Heading1"/>
        <w:spacing w:after="0"/>
        <w:sectPr>
          <w:type w:val="continuous"/>
          <w:pgSz w:w="12240" w:h="15840"/>
          <w:pgMar w:top="560" w:bottom="280" w:left="1440" w:right="1440"/>
        </w:sectPr>
      </w:pPr>
    </w:p>
    <w:p>
      <w:pPr>
        <w:pStyle w:val="BodyText"/>
        <w:spacing w:line="422" w:lineRule="auto" w:before="83"/>
        <w:ind w:right="7636"/>
      </w:pPr>
      <w:r>
        <w:rPr>
          <w:color w:val="6E6158"/>
        </w:rPr>
        <w:t>Business </w:t>
      </w:r>
      <w:r>
        <w:rPr>
          <w:color w:val="6E6158"/>
        </w:rPr>
        <w:t>Litigation Health Care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ERISA</w:t>
      </w:r>
    </w:p>
    <w:p>
      <w:pPr>
        <w:pStyle w:val="BodyText"/>
        <w:spacing w:line="232" w:lineRule="exact"/>
      </w:pPr>
      <w:r>
        <w:rPr>
          <w:color w:val="6E6158"/>
        </w:rPr>
        <w:t>Privacy</w:t>
      </w:r>
      <w:r>
        <w:rPr>
          <w:color w:val="6E6158"/>
          <w:spacing w:val="9"/>
        </w:rPr>
        <w:t> </w:t>
      </w:r>
      <w:r>
        <w:rPr>
          <w:color w:val="6E6158"/>
        </w:rPr>
        <w:t>&amp;</w:t>
      </w:r>
      <w:r>
        <w:rPr>
          <w:color w:val="6E6158"/>
          <w:spacing w:val="10"/>
        </w:rPr>
        <w:t> </w:t>
      </w:r>
      <w:r>
        <w:rPr>
          <w:color w:val="6E6158"/>
        </w:rPr>
        <w:t>Data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Security</w:t>
      </w:r>
    </w:p>
    <w:p>
      <w:pPr>
        <w:pStyle w:val="BodyText"/>
        <w:spacing w:before="163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A Tale of Two More Matters: Department of Education Lawsuits Alleging Nursing Is a</w:t>
        </w:r>
      </w:hyperlink>
      <w:r>
        <w:rPr>
          <w:color w:val="F5821F"/>
        </w:rPr>
        <w:t> </w:t>
      </w:r>
      <w:hyperlink r:id="rId12">
        <w:r>
          <w:rPr>
            <w:color w:val="F5821F"/>
          </w:rPr>
          <w:t>Profession</w:t>
        </w:r>
      </w:hyperlink>
      <w:r>
        <w:rPr>
          <w:color w:val="6E6158"/>
        </w:rPr>
        <w:t>,” Fennemore Blog, July 9, 2026</w:t>
      </w:r>
    </w:p>
    <w:p>
      <w:pPr>
        <w:pStyle w:val="BodyText"/>
        <w:spacing w:line="292" w:lineRule="auto" w:before="131"/>
        <w:ind w:right="122"/>
      </w:pPr>
      <w:r>
        <w:rPr>
          <w:color w:val="6E6158"/>
        </w:rPr>
        <w:t>Author, “</w:t>
      </w:r>
      <w:hyperlink r:id="rId13">
        <w:r>
          <w:rPr>
            <w:color w:val="F5821F"/>
          </w:rPr>
          <w:t>5 warning signs health care fraud could be driving up your insurance costs</w:t>
        </w:r>
      </w:hyperlink>
      <w:r>
        <w:rPr>
          <w:color w:val="6E6158"/>
        </w:rPr>
        <w:t>,” Orange</w:t>
      </w:r>
      <w:r>
        <w:rPr>
          <w:color w:val="6E6158"/>
          <w:spacing w:val="40"/>
        </w:rPr>
        <w:t> </w:t>
      </w:r>
      <w:r>
        <w:rPr>
          <w:color w:val="6E6158"/>
        </w:rPr>
        <w:t>County Register, April 30, 2026</w:t>
      </w:r>
    </w:p>
    <w:p>
      <w:pPr>
        <w:pStyle w:val="BodyText"/>
        <w:spacing w:line="292" w:lineRule="auto" w:before="124"/>
      </w:pPr>
      <w:r>
        <w:rPr>
          <w:color w:val="6E6158"/>
        </w:rPr>
        <w:t>Host and Moderator, “U.S. Department of Education’s Notice of Proposed Rulemaking on 34 CFR</w:t>
      </w:r>
      <w:r>
        <w:rPr>
          <w:color w:val="6E6158"/>
          <w:spacing w:val="40"/>
        </w:rPr>
        <w:t> </w:t>
      </w:r>
      <w:r>
        <w:rPr>
          <w:color w:val="6E6158"/>
        </w:rPr>
        <w:t>Parts</w:t>
      </w:r>
      <w:r>
        <w:rPr>
          <w:color w:val="6E6158"/>
          <w:spacing w:val="27"/>
        </w:rPr>
        <w:t> </w:t>
      </w:r>
      <w:r>
        <w:rPr>
          <w:color w:val="6E6158"/>
        </w:rPr>
        <w:t>674,</w:t>
      </w:r>
      <w:r>
        <w:rPr>
          <w:color w:val="6E6158"/>
          <w:spacing w:val="27"/>
        </w:rPr>
        <w:t> </w:t>
      </w:r>
      <w:r>
        <w:rPr>
          <w:color w:val="6E6158"/>
        </w:rPr>
        <w:t>682,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685,”</w:t>
      </w:r>
      <w:r>
        <w:rPr>
          <w:color w:val="6E6158"/>
          <w:spacing w:val="27"/>
        </w:rPr>
        <w:t> </w:t>
      </w:r>
      <w:r>
        <w:rPr>
          <w:color w:val="6E6158"/>
        </w:rPr>
        <w:t>American</w:t>
      </w:r>
      <w:r>
        <w:rPr>
          <w:color w:val="6E6158"/>
          <w:spacing w:val="27"/>
        </w:rPr>
        <w:t> </w:t>
      </w:r>
      <w:r>
        <w:rPr>
          <w:color w:val="6E6158"/>
        </w:rPr>
        <w:t>Bar</w:t>
      </w:r>
      <w:r>
        <w:rPr>
          <w:color w:val="6E6158"/>
          <w:spacing w:val="27"/>
        </w:rPr>
        <w:t> </w:t>
      </w:r>
      <w:r>
        <w:rPr>
          <w:color w:val="6E6158"/>
        </w:rPr>
        <w:t>Association</w:t>
      </w:r>
      <w:r>
        <w:rPr>
          <w:color w:val="6E6158"/>
          <w:spacing w:val="27"/>
        </w:rPr>
        <w:t> </w:t>
      </w:r>
      <w:r>
        <w:rPr>
          <w:color w:val="6E6158"/>
        </w:rPr>
        <w:t>Health</w:t>
      </w:r>
      <w:r>
        <w:rPr>
          <w:color w:val="6E6158"/>
          <w:spacing w:val="27"/>
        </w:rPr>
        <w:t> </w:t>
      </w:r>
      <w:r>
        <w:rPr>
          <w:color w:val="6E6158"/>
        </w:rPr>
        <w:t>Law</w:t>
      </w:r>
      <w:r>
        <w:rPr>
          <w:color w:val="6E6158"/>
          <w:spacing w:val="27"/>
        </w:rPr>
        <w:t> </w:t>
      </w:r>
      <w:r>
        <w:rPr>
          <w:color w:val="6E6158"/>
        </w:rPr>
        <w:t>Section</w:t>
      </w:r>
      <w:r>
        <w:rPr>
          <w:color w:val="6E6158"/>
          <w:spacing w:val="27"/>
        </w:rPr>
        <w:t> </w:t>
      </w:r>
      <w:r>
        <w:rPr>
          <w:color w:val="6E6158"/>
        </w:rPr>
        <w:t>panel,</w:t>
      </w:r>
      <w:r>
        <w:rPr>
          <w:color w:val="6E6158"/>
          <w:spacing w:val="27"/>
        </w:rPr>
        <w:t> </w:t>
      </w:r>
      <w:r>
        <w:rPr>
          <w:color w:val="6E6158"/>
        </w:rPr>
        <w:t>March</w:t>
      </w:r>
      <w:r>
        <w:rPr>
          <w:color w:val="6E6158"/>
          <w:spacing w:val="27"/>
        </w:rPr>
        <w:t> </w:t>
      </w:r>
      <w:r>
        <w:rPr>
          <w:color w:val="6E6158"/>
        </w:rPr>
        <w:t>31,</w:t>
      </w:r>
      <w:r>
        <w:rPr>
          <w:color w:val="6E6158"/>
          <w:spacing w:val="27"/>
        </w:rPr>
        <w:t> </w:t>
      </w:r>
      <w:r>
        <w:rPr>
          <w:color w:val="6E6158"/>
        </w:rPr>
        <w:t>2026</w:t>
      </w:r>
    </w:p>
    <w:p>
      <w:pPr>
        <w:pStyle w:val="BodyText"/>
        <w:spacing w:line="292" w:lineRule="auto" w:before="131"/>
      </w:pPr>
      <w:r>
        <w:rPr>
          <w:color w:val="6E6158"/>
        </w:rPr>
        <w:t>Speaker, “Legal Aspects of Anesthesiology,”</w:t>
      </w:r>
      <w:r>
        <w:rPr>
          <w:color w:val="6E6158"/>
          <w:spacing w:val="40"/>
        </w:rPr>
        <w:t> </w:t>
      </w:r>
      <w:r>
        <w:rPr>
          <w:color w:val="6E6158"/>
        </w:rPr>
        <w:t>Washington Association of Nurse </w:t>
      </w:r>
      <w:r>
        <w:rPr>
          <w:color w:val="6E6158"/>
        </w:rPr>
        <w:t>Anesthesiology, Bellingham, Washington, March 28, 2026</w:t>
      </w:r>
    </w:p>
    <w:p>
      <w:pPr>
        <w:pStyle w:val="BodyText"/>
        <w:spacing w:before="123"/>
      </w:pPr>
      <w:r>
        <w:rPr>
          <w:color w:val="6E6158"/>
        </w:rPr>
        <w:t>Co-Speaker,</w:t>
      </w:r>
      <w:r>
        <w:rPr>
          <w:color w:val="6E6158"/>
          <w:spacing w:val="11"/>
        </w:rPr>
        <w:t> </w:t>
      </w:r>
      <w:r>
        <w:rPr>
          <w:color w:val="6E6158"/>
        </w:rPr>
        <w:t>with</w:t>
      </w:r>
      <w:r>
        <w:rPr>
          <w:color w:val="6E6158"/>
          <w:spacing w:val="11"/>
        </w:rPr>
        <w:t> </w:t>
      </w:r>
      <w:r>
        <w:rPr>
          <w:color w:val="6E6158"/>
        </w:rPr>
        <w:t>Assemblymember</w:t>
      </w:r>
      <w:r>
        <w:rPr>
          <w:color w:val="6E6158"/>
          <w:spacing w:val="12"/>
        </w:rPr>
        <w:t> </w:t>
      </w:r>
      <w:r>
        <w:rPr>
          <w:color w:val="6E6158"/>
        </w:rPr>
        <w:t>Flora,</w:t>
      </w:r>
      <w:r>
        <w:rPr>
          <w:color w:val="6E6158"/>
          <w:spacing w:val="11"/>
        </w:rPr>
        <w:t> </w:t>
      </w:r>
      <w:r>
        <w:rPr>
          <w:color w:val="6E6158"/>
        </w:rPr>
        <w:t>“The</w:t>
      </w:r>
      <w:r>
        <w:rPr>
          <w:color w:val="6E6158"/>
          <w:spacing w:val="11"/>
        </w:rPr>
        <w:t> </w:t>
      </w:r>
      <w:r>
        <w:rPr>
          <w:color w:val="6E6158"/>
        </w:rPr>
        <w:t>Facts</w:t>
      </w:r>
      <w:r>
        <w:rPr>
          <w:color w:val="6E6158"/>
          <w:spacing w:val="12"/>
        </w:rPr>
        <w:t> </w:t>
      </w:r>
      <w:r>
        <w:rPr>
          <w:color w:val="6E6158"/>
        </w:rPr>
        <w:t>About</w:t>
      </w:r>
      <w:r>
        <w:rPr>
          <w:color w:val="6E6158"/>
          <w:spacing w:val="11"/>
        </w:rPr>
        <w:t> </w:t>
      </w:r>
      <w:r>
        <w:rPr>
          <w:color w:val="6E6158"/>
        </w:rPr>
        <w:t>AB</w:t>
      </w:r>
      <w:r>
        <w:rPr>
          <w:color w:val="6E6158"/>
          <w:spacing w:val="12"/>
        </w:rPr>
        <w:t> </w:t>
      </w:r>
      <w:r>
        <w:rPr>
          <w:color w:val="6E6158"/>
        </w:rPr>
        <w:t>876,”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</w:rPr>
        <w:t>28,</w:t>
      </w:r>
      <w:r>
        <w:rPr>
          <w:color w:val="6E6158"/>
          <w:spacing w:val="12"/>
        </w:rPr>
        <w:t> </w:t>
      </w:r>
      <w:r>
        <w:rPr>
          <w:color w:val="6E6158"/>
        </w:rPr>
        <w:t>2026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Webinar.</w:t>
      </w:r>
    </w:p>
    <w:p>
      <w:pPr>
        <w:pStyle w:val="BodyText"/>
        <w:spacing w:line="292" w:lineRule="auto" w:before="182"/>
        <w:ind w:right="397"/>
      </w:pPr>
      <w:r>
        <w:rPr>
          <w:color w:val="6E6158"/>
        </w:rPr>
        <w:t>Speaker, “Lessons Learned: Health Plan Litigation for Fraudulent Mommy Makeovers,” </w:t>
      </w:r>
      <w:r>
        <w:rPr>
          <w:color w:val="6E6158"/>
        </w:rPr>
        <w:t>January 22, 2026, Health Benefits Conference and Expo, Jacksonville, Florida.</w:t>
      </w:r>
    </w:p>
    <w:p>
      <w:pPr>
        <w:pStyle w:val="BodyText"/>
        <w:spacing w:line="292" w:lineRule="auto" w:before="124"/>
      </w:pPr>
      <w:r>
        <w:rPr>
          <w:color w:val="6E6158"/>
        </w:rPr>
        <w:t>Speaker, USC Keck School of Medicine Program of Nurse Anesthesiology, November 5, 2025, Los</w:t>
      </w:r>
      <w:r>
        <w:rPr>
          <w:color w:val="6E6158"/>
          <w:spacing w:val="40"/>
        </w:rPr>
        <w:t> </w:t>
      </w:r>
      <w:r>
        <w:rPr>
          <w:color w:val="6E6158"/>
        </w:rPr>
        <w:t>Angeles, California.</w:t>
      </w:r>
    </w:p>
    <w:p>
      <w:pPr>
        <w:pStyle w:val="BodyText"/>
        <w:spacing w:line="292" w:lineRule="auto" w:before="131"/>
        <w:ind w:right="397"/>
      </w:pPr>
      <w:r>
        <w:rPr>
          <w:color w:val="6E6158"/>
        </w:rPr>
        <w:t>Speaker, “The Anatomy of a California Hit Job and Resulting Crisis of Confidence,” CANA Western States Regional Anesthesia Seminar, October 4, 2025, Las Vegas, Nevada.</w:t>
      </w:r>
    </w:p>
    <w:p>
      <w:pPr>
        <w:pStyle w:val="BodyText"/>
        <w:spacing w:line="292" w:lineRule="auto" w:before="123"/>
        <w:ind w:right="419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U.S. Healthcare in OBBBA: A Patchwork of Big Changes</w:t>
        </w:r>
      </w:hyperlink>
      <w:r>
        <w:rPr>
          <w:color w:val="6E6158"/>
        </w:rPr>
        <w:t>,” Fennemore Blog, August 19,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32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Federal and California’s Shared Interest in Promoting Open Competition: Isn’t it Ironic?</w:t>
        </w:r>
      </w:hyperlink>
      <w:r>
        <w:rPr>
          <w:color w:val="6E6158"/>
        </w:rPr>
        <w:t>,”</w:t>
      </w:r>
      <w:r>
        <w:rPr>
          <w:color w:val="6E6158"/>
          <w:spacing w:val="40"/>
        </w:rPr>
        <w:t> </w:t>
      </w:r>
      <w:r>
        <w:rPr>
          <w:color w:val="6E6158"/>
        </w:rPr>
        <w:t>Fennemore Blog, July 31, 2025</w:t>
      </w:r>
    </w:p>
    <w:p>
      <w:pPr>
        <w:pStyle w:val="BodyText"/>
        <w:spacing w:line="292" w:lineRule="auto" w:before="123"/>
        <w:ind w:right="122"/>
      </w:pPr>
      <w:r>
        <w:rPr>
          <w:color w:val="6E6158"/>
        </w:rPr>
        <w:t>Author, “</w:t>
      </w:r>
      <w:hyperlink r:id="rId16">
        <w:r>
          <w:rPr>
            <w:color w:val="F5821F"/>
          </w:rPr>
          <w:t>California’s Bold Experiment with Whole-Person Centered Care: Has it </w:t>
        </w:r>
        <w:r>
          <w:rPr>
            <w:color w:val="F5821F"/>
          </w:rPr>
          <w:t>Worked?</w:t>
        </w:r>
      </w:hyperlink>
      <w:r>
        <w:rPr>
          <w:color w:val="6E6158"/>
        </w:rPr>
        <w:t>,” Fennemore Blog, June 11, 2025</w:t>
      </w:r>
    </w:p>
    <w:p>
      <w:pPr>
        <w:pStyle w:val="BodyText"/>
        <w:spacing w:line="292" w:lineRule="auto" w:before="131"/>
        <w:ind w:right="397"/>
      </w:pPr>
      <w:r>
        <w:rPr>
          <w:color w:val="6E6158"/>
        </w:rPr>
        <w:t>Co-Author, “</w:t>
      </w:r>
      <w:hyperlink r:id="rId17">
        <w:r>
          <w:rPr>
            <w:color w:val="F5821F"/>
          </w:rPr>
          <w:t>We Are Almost Back to Normal Post-COVID, Except When it Comes to Nurse</w:t>
        </w:r>
      </w:hyperlink>
      <w:r>
        <w:rPr>
          <w:color w:val="F5821F"/>
        </w:rPr>
        <w:t> </w:t>
      </w:r>
      <w:hyperlink r:id="rId17">
        <w:r>
          <w:rPr>
            <w:color w:val="F5821F"/>
          </w:rPr>
          <w:t>Staffing</w:t>
        </w:r>
      </w:hyperlink>
      <w:r>
        <w:rPr>
          <w:color w:val="6E6158"/>
        </w:rPr>
        <w:t>,” Fennemore Blog, April 29, 2025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“Nursing</w:t>
      </w:r>
      <w:r>
        <w:rPr>
          <w:color w:val="6E6158"/>
          <w:spacing w:val="8"/>
        </w:rPr>
        <w:t> </w:t>
      </w:r>
      <w:r>
        <w:rPr>
          <w:color w:val="6E6158"/>
        </w:rPr>
        <w:t>Impact</w:t>
      </w:r>
      <w:r>
        <w:rPr>
          <w:color w:val="6E6158"/>
          <w:spacing w:val="8"/>
        </w:rPr>
        <w:t> </w:t>
      </w:r>
      <w:r>
        <w:rPr>
          <w:color w:val="6E6158"/>
        </w:rPr>
        <w:t>Litigation</w:t>
      </w:r>
      <w:r>
        <w:rPr>
          <w:color w:val="6E6158"/>
          <w:spacing w:val="8"/>
        </w:rPr>
        <w:t> </w:t>
      </w:r>
      <w:r>
        <w:rPr>
          <w:color w:val="6E6158"/>
        </w:rPr>
        <w:t>–</w:t>
      </w:r>
      <w:r>
        <w:rPr>
          <w:color w:val="6E6158"/>
          <w:spacing w:val="8"/>
        </w:rPr>
        <w:t> </w:t>
      </w:r>
      <w:r>
        <w:rPr>
          <w:color w:val="6E6158"/>
        </w:rPr>
        <w:t>A</w:t>
      </w:r>
      <w:r>
        <w:rPr>
          <w:color w:val="6E6158"/>
          <w:spacing w:val="8"/>
        </w:rPr>
        <w:t> </w:t>
      </w:r>
      <w:r>
        <w:rPr>
          <w:color w:val="6E6158"/>
        </w:rPr>
        <w:t>Tale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Two</w:t>
      </w:r>
      <w:r>
        <w:rPr>
          <w:color w:val="6E6158"/>
          <w:spacing w:val="8"/>
        </w:rPr>
        <w:t> </w:t>
      </w:r>
      <w:r>
        <w:rPr>
          <w:color w:val="6E6158"/>
        </w:rPr>
        <w:t>Matters,”</w:t>
      </w:r>
      <w:r>
        <w:rPr>
          <w:color w:val="6E6158"/>
          <w:spacing w:val="8"/>
        </w:rPr>
        <w:t> </w:t>
      </w:r>
      <w:r>
        <w:rPr>
          <w:color w:val="6E6158"/>
        </w:rPr>
        <w:t>JD</w:t>
      </w:r>
      <w:r>
        <w:rPr>
          <w:color w:val="6E6158"/>
          <w:spacing w:val="8"/>
        </w:rPr>
        <w:t> </w:t>
      </w:r>
      <w:r>
        <w:rPr>
          <w:color w:val="6E6158"/>
        </w:rPr>
        <w:t>Supra,</w:t>
      </w:r>
      <w:r>
        <w:rPr>
          <w:color w:val="6E6158"/>
          <w:spacing w:val="8"/>
        </w:rPr>
        <w:t> </w:t>
      </w:r>
      <w:r>
        <w:rPr>
          <w:color w:val="6E6158"/>
        </w:rPr>
        <w:t>March</w:t>
      </w:r>
      <w:r>
        <w:rPr>
          <w:color w:val="6E6158"/>
          <w:spacing w:val="8"/>
        </w:rPr>
        <w:t> </w:t>
      </w:r>
      <w:r>
        <w:rPr>
          <w:color w:val="6E6158"/>
        </w:rPr>
        <w:t>18,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line="292" w:lineRule="auto" w:before="182"/>
      </w:pPr>
      <w:r>
        <w:rPr>
          <w:color w:val="6E6158"/>
        </w:rPr>
        <w:t>Author, “Lessons Learned from ERISA Health Plan Representation and Recommendations for </w:t>
      </w:r>
      <w:r>
        <w:rPr>
          <w:color w:val="6E6158"/>
        </w:rPr>
        <w:t>Plan Design and Oversight,” JD Supra, February 19, 2025</w:t>
      </w:r>
    </w:p>
    <w:p>
      <w:pPr>
        <w:pStyle w:val="BodyText"/>
        <w:spacing w:line="292" w:lineRule="auto" w:before="123"/>
      </w:pPr>
      <w:r>
        <w:rPr>
          <w:color w:val="6E6158"/>
        </w:rPr>
        <w:t>Author, “Regulatory Landscape of Insurance Claims Denial Practices and Suggestions for a </w:t>
      </w:r>
      <w:r>
        <w:rPr>
          <w:color w:val="6E6158"/>
        </w:rPr>
        <w:t>Path Forward to a Sustainable Healthcare Future,” JD Supra, January 31, 2025</w:t>
      </w:r>
    </w:p>
    <w:p>
      <w:pPr>
        <w:pStyle w:val="BodyText"/>
        <w:spacing w:line="292" w:lineRule="auto" w:before="131"/>
      </w:pPr>
      <w:r>
        <w:rPr>
          <w:color w:val="6E6158"/>
        </w:rPr>
        <w:t>Author, “California Department of Public Health (CDPH) ‘All Facilities Letter’ and Survey </w:t>
      </w:r>
      <w:r>
        <w:rPr>
          <w:color w:val="6E6158"/>
        </w:rPr>
        <w:t>Activities</w:t>
      </w:r>
      <w:r>
        <w:rPr>
          <w:color w:val="6E6158"/>
          <w:spacing w:val="40"/>
        </w:rPr>
        <w:t> </w:t>
      </w:r>
      <w:r>
        <w:rPr>
          <w:color w:val="6E6158"/>
        </w:rPr>
        <w:t>Impacting</w:t>
      </w:r>
      <w:r>
        <w:rPr>
          <w:color w:val="6E6158"/>
          <w:spacing w:val="36"/>
        </w:rPr>
        <w:t> </w:t>
      </w:r>
      <w:r>
        <w:rPr>
          <w:color w:val="6E6158"/>
        </w:rPr>
        <w:t>Nurse</w:t>
      </w:r>
      <w:r>
        <w:rPr>
          <w:color w:val="6E6158"/>
          <w:spacing w:val="36"/>
        </w:rPr>
        <w:t> </w:t>
      </w:r>
      <w:r>
        <w:rPr>
          <w:color w:val="6E6158"/>
        </w:rPr>
        <w:t>Anesthesiology</w:t>
      </w:r>
      <w:r>
        <w:rPr>
          <w:color w:val="6E6158"/>
          <w:spacing w:val="36"/>
        </w:rPr>
        <w:t> </w:t>
      </w:r>
      <w:r>
        <w:rPr>
          <w:color w:val="6E6158"/>
        </w:rPr>
        <w:t>Scope</w:t>
      </w:r>
      <w:r>
        <w:rPr>
          <w:color w:val="6E6158"/>
          <w:spacing w:val="36"/>
        </w:rPr>
        <w:t> </w:t>
      </w:r>
      <w:r>
        <w:rPr>
          <w:color w:val="6E6158"/>
        </w:rPr>
        <w:t>of</w:t>
      </w:r>
      <w:r>
        <w:rPr>
          <w:color w:val="6E6158"/>
          <w:spacing w:val="36"/>
        </w:rPr>
        <w:t> </w:t>
      </w:r>
      <w:r>
        <w:rPr>
          <w:color w:val="6E6158"/>
        </w:rPr>
        <w:t>Practice,”</w:t>
      </w:r>
      <w:r>
        <w:rPr>
          <w:color w:val="6E6158"/>
          <w:spacing w:val="36"/>
        </w:rPr>
        <w:t> </w:t>
      </w:r>
      <w:r>
        <w:rPr>
          <w:color w:val="6E6158"/>
        </w:rPr>
        <w:t>JD</w:t>
      </w:r>
      <w:r>
        <w:rPr>
          <w:color w:val="6E6158"/>
          <w:spacing w:val="36"/>
        </w:rPr>
        <w:t> </w:t>
      </w:r>
      <w:r>
        <w:rPr>
          <w:color w:val="6E6158"/>
        </w:rPr>
        <w:t>Supra,</w:t>
      </w:r>
      <w:r>
        <w:rPr>
          <w:color w:val="6E6158"/>
          <w:spacing w:val="36"/>
        </w:rPr>
        <w:t> </w:t>
      </w:r>
      <w:r>
        <w:rPr>
          <w:color w:val="6E6158"/>
        </w:rPr>
        <w:t>December</w:t>
      </w:r>
      <w:r>
        <w:rPr>
          <w:color w:val="6E6158"/>
          <w:spacing w:val="36"/>
        </w:rPr>
        <w:t> </w:t>
      </w:r>
      <w:r>
        <w:rPr>
          <w:color w:val="6E6158"/>
        </w:rPr>
        <w:t>9,</w:t>
      </w:r>
      <w:r>
        <w:rPr>
          <w:color w:val="6E6158"/>
          <w:spacing w:val="36"/>
        </w:rPr>
        <w:t> </w:t>
      </w:r>
      <w:r>
        <w:rPr>
          <w:color w:val="6E6158"/>
        </w:rPr>
        <w:t>2024</w:t>
      </w:r>
    </w:p>
    <w:p>
      <w:pPr>
        <w:pStyle w:val="BodyText"/>
        <w:spacing w:line="292" w:lineRule="auto" w:before="124"/>
      </w:pPr>
      <w:r>
        <w:rPr>
          <w:color w:val="6E6158"/>
        </w:rPr>
        <w:t>Co-Presenter, CalAIM Initiative on Enhanced Care Management and Community Supports, </w:t>
      </w:r>
      <w:r>
        <w:rPr>
          <w:color w:val="6E6158"/>
        </w:rPr>
        <w:t>2024 CSHA Annual Meeting and Spring SeminarLegal Update, May 3, 2024</w:t>
      </w:r>
    </w:p>
    <w:p>
      <w:pPr>
        <w:pStyle w:val="BodyText"/>
        <w:spacing w:line="292" w:lineRule="auto" w:before="131"/>
        <w:ind w:right="338"/>
      </w:pPr>
      <w:r>
        <w:rPr>
          <w:color w:val="6E6158"/>
        </w:rPr>
        <w:t>Author, CIGNA’s New CRNA Payment Policy Adds Fuel To The Fire, Coronis Health, October 27, </w:t>
      </w:r>
      <w:r>
        <w:rPr>
          <w:color w:val="6E6158"/>
          <w:spacing w:val="-4"/>
        </w:rPr>
        <w:t>2023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spacing w:before="253"/>
        <w:ind w:left="99" w:right="0" w:firstLine="0"/>
        <w:jc w:val="left"/>
        <w:rPr>
          <w:sz w:val="19"/>
        </w:rPr>
      </w:pPr>
      <w:r>
        <w:rPr>
          <w:i/>
          <w:color w:val="6E6158"/>
          <w:spacing w:val="-2"/>
          <w:sz w:val="20"/>
        </w:rPr>
        <w:t>Super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Lawyers</w:t>
      </w:r>
      <w:r>
        <w:rPr>
          <w:i/>
          <w:color w:val="6E6158"/>
          <w:spacing w:val="-2"/>
          <w:position w:val="7"/>
          <w:sz w:val="16"/>
        </w:rPr>
        <w:t>®</w:t>
      </w:r>
      <w:r>
        <w:rPr>
          <w:i/>
          <w:color w:val="6E6158"/>
          <w:spacing w:val="5"/>
          <w:position w:val="7"/>
          <w:sz w:val="16"/>
        </w:rPr>
        <w:t> </w:t>
      </w:r>
      <w:r>
        <w:rPr>
          <w:i/>
          <w:color w:val="6E6158"/>
          <w:spacing w:val="-2"/>
          <w:sz w:val="20"/>
        </w:rPr>
        <w:t>Rising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Stars,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Business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Litigation,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Health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pacing w:val="-2"/>
          <w:sz w:val="20"/>
        </w:rPr>
        <w:t>Care,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pacing w:val="-2"/>
          <w:sz w:val="20"/>
        </w:rPr>
        <w:t>ERISA,</w:t>
      </w:r>
      <w:r>
        <w:rPr>
          <w:i/>
          <w:color w:val="6E6158"/>
          <w:spacing w:val="-5"/>
          <w:sz w:val="20"/>
        </w:rPr>
        <w:t> </w:t>
      </w:r>
      <w:r>
        <w:rPr>
          <w:color w:val="6E6158"/>
          <w:spacing w:val="-2"/>
          <w:sz w:val="19"/>
        </w:rPr>
        <w:t>2025-</w:t>
      </w:r>
      <w:r>
        <w:rPr>
          <w:color w:val="6E6158"/>
          <w:spacing w:val="-4"/>
          <w:sz w:val="19"/>
        </w:rPr>
        <w:t>2026</w:t>
      </w:r>
    </w:p>
    <w:p>
      <w:pPr>
        <w:spacing w:before="165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Best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in</w:t>
      </w:r>
      <w:r>
        <w:rPr>
          <w:i/>
          <w:color w:val="6E6158"/>
          <w:spacing w:val="-6"/>
          <w:sz w:val="20"/>
        </w:rPr>
        <w:t> </w:t>
      </w:r>
      <w:r>
        <w:rPr>
          <w:i/>
          <w:color w:val="6E6158"/>
          <w:sz w:val="20"/>
        </w:rPr>
        <w:t>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6"/>
          <w:sz w:val="20"/>
        </w:rPr>
        <w:t> </w:t>
      </w:r>
      <w:r>
        <w:rPr>
          <w:color w:val="6E6158"/>
          <w:sz w:val="19"/>
        </w:rPr>
        <w:t>Health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Care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Law,</w:t>
      </w:r>
      <w:r>
        <w:rPr>
          <w:color w:val="6E6158"/>
          <w:spacing w:val="-3"/>
          <w:sz w:val="19"/>
        </w:rPr>
        <w:t> </w:t>
      </w:r>
      <w:r>
        <w:rPr>
          <w:color w:val="6E6158"/>
          <w:sz w:val="19"/>
        </w:rPr>
        <w:t>2025-</w:t>
      </w:r>
      <w:r>
        <w:rPr>
          <w:color w:val="6E6158"/>
          <w:spacing w:val="-4"/>
          <w:sz w:val="19"/>
        </w:rPr>
        <w:t>2027</w:t>
      </w:r>
    </w:p>
    <w:p>
      <w:pPr>
        <w:pStyle w:val="BodyText"/>
        <w:spacing w:line="292" w:lineRule="auto" w:before="180"/>
        <w:ind w:right="338"/>
      </w:pPr>
      <w:r>
        <w:rPr>
          <w:color w:val="6E6158"/>
        </w:rPr>
        <w:t>Outstanding Interest Group (Nursing and Allied Health Professionals), American Bar </w:t>
      </w:r>
      <w:r>
        <w:rPr>
          <w:color w:val="6E6158"/>
        </w:rPr>
        <w:t>Association,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2025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</w:pPr>
      <w:r>
        <w:rPr>
          <w:color w:val="6E6158"/>
        </w:rPr>
        <w:t>American</w:t>
      </w:r>
      <w:r>
        <w:rPr>
          <w:color w:val="6E6158"/>
          <w:spacing w:val="11"/>
        </w:rPr>
        <w:t> </w:t>
      </w:r>
      <w:r>
        <w:rPr>
          <w:color w:val="6E6158"/>
        </w:rPr>
        <w:t>Bar</w:t>
      </w:r>
      <w:r>
        <w:rPr>
          <w:color w:val="6E6158"/>
          <w:spacing w:val="11"/>
        </w:rPr>
        <w:t> </w:t>
      </w:r>
      <w:r>
        <w:rPr>
          <w:color w:val="6E6158"/>
        </w:rPr>
        <w:t>Association,</w:t>
      </w:r>
      <w:r>
        <w:rPr>
          <w:color w:val="6E6158"/>
          <w:spacing w:val="12"/>
        </w:rPr>
        <w:t> </w:t>
      </w:r>
      <w:r>
        <w:rPr>
          <w:color w:val="6E6158"/>
        </w:rPr>
        <w:t>Vice</w:t>
      </w:r>
      <w:r>
        <w:rPr>
          <w:color w:val="6E6158"/>
          <w:spacing w:val="11"/>
        </w:rPr>
        <w:t> </w:t>
      </w:r>
      <w:r>
        <w:rPr>
          <w:color w:val="6E6158"/>
        </w:rPr>
        <w:t>Chair,</w:t>
      </w:r>
      <w:r>
        <w:rPr>
          <w:color w:val="6E6158"/>
          <w:spacing w:val="11"/>
        </w:rPr>
        <w:t> </w:t>
      </w:r>
      <w:r>
        <w:rPr>
          <w:color w:val="6E6158"/>
        </w:rPr>
        <w:t>Nursing</w:t>
      </w:r>
      <w:r>
        <w:rPr>
          <w:color w:val="6E6158"/>
          <w:spacing w:val="11"/>
        </w:rPr>
        <w:t> </w:t>
      </w:r>
      <w:r>
        <w:rPr>
          <w:color w:val="6E6158"/>
        </w:rPr>
        <w:t>&amp;</w:t>
      </w:r>
      <w:r>
        <w:rPr>
          <w:color w:val="6E6158"/>
          <w:spacing w:val="11"/>
        </w:rPr>
        <w:t> </w:t>
      </w:r>
      <w:r>
        <w:rPr>
          <w:color w:val="6E6158"/>
        </w:rPr>
        <w:t>Allied</w:t>
      </w:r>
      <w:r>
        <w:rPr>
          <w:color w:val="6E6158"/>
          <w:spacing w:val="11"/>
        </w:rPr>
        <w:t> </w:t>
      </w:r>
      <w:r>
        <w:rPr>
          <w:color w:val="6E6158"/>
        </w:rPr>
        <w:t>Healthcare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Professionals</w:t>
      </w:r>
    </w:p>
    <w:p>
      <w:pPr>
        <w:pStyle w:val="BodyText"/>
        <w:spacing w:before="171"/>
        <w:ind w:left="0"/>
        <w:rPr>
          <w:sz w:val="24"/>
        </w:rPr>
      </w:pPr>
    </w:p>
    <w:p>
      <w:pPr>
        <w:pStyle w:val="Heading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1"/>
      </w:pPr>
      <w:r>
        <w:rPr>
          <w:color w:val="6E6158"/>
          <w:spacing w:val="-2"/>
        </w:rPr>
        <w:t>California</w:t>
      </w:r>
    </w:p>
    <w:p>
      <w:pPr>
        <w:pStyle w:val="BodyText"/>
        <w:spacing w:before="173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Appeals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</w:rPr>
        <w:t>Ninth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Northern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Eastern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Court,</w:t>
      </w:r>
      <w:r>
        <w:rPr>
          <w:color w:val="6E6158"/>
          <w:spacing w:val="11"/>
        </w:rPr>
        <w:t> </w:t>
      </w:r>
      <w:r>
        <w:rPr>
          <w:color w:val="6E6158"/>
        </w:rPr>
        <w:t>Central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1"/>
        </w:rPr>
        <w:t> </w:t>
      </w:r>
      <w:r>
        <w:rPr>
          <w:color w:val="6E6158"/>
        </w:rPr>
        <w:t>of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California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Court,</w:t>
      </w:r>
      <w:r>
        <w:rPr>
          <w:color w:val="6E6158"/>
          <w:spacing w:val="12"/>
        </w:rPr>
        <w:t> </w:t>
      </w:r>
      <w:r>
        <w:rPr>
          <w:color w:val="6E6158"/>
        </w:rPr>
        <w:t>Southern</w:t>
      </w:r>
      <w:r>
        <w:rPr>
          <w:color w:val="6E6158"/>
          <w:spacing w:val="12"/>
        </w:rPr>
        <w:t> </w:t>
      </w:r>
      <w:r>
        <w:rPr>
          <w:color w:val="6E6158"/>
        </w:rPr>
        <w:t>District</w:t>
      </w:r>
      <w:r>
        <w:rPr>
          <w:color w:val="6E6158"/>
          <w:spacing w:val="12"/>
        </w:rPr>
        <w:t> </w:t>
      </w:r>
      <w:r>
        <w:rPr>
          <w:color w:val="6E6158"/>
        </w:rPr>
        <w:t>of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California</w:t>
      </w:r>
    </w:p>
    <w:sectPr>
      <w:pgSz w:w="12240" w:h="15840"/>
      <w:pgMar w:top="58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orange-county/" TargetMode="External"/><Relationship Id="rId10" Type="http://schemas.openxmlformats.org/officeDocument/2006/relationships/hyperlink" Target="https://www.fennemorelaw.com/contact-us/fresno/" TargetMode="External"/><Relationship Id="rId11" Type="http://schemas.openxmlformats.org/officeDocument/2006/relationships/hyperlink" Target="mailto:kbowles@fennemorelaw.com" TargetMode="External"/><Relationship Id="rId12" Type="http://schemas.openxmlformats.org/officeDocument/2006/relationships/hyperlink" Target="https://www.fennemorelaw.com/a-tale-of-two-more-matters-department-of-education-lawsuits-alleging-nursing-is-a-profession/" TargetMode="External"/><Relationship Id="rId13" Type="http://schemas.openxmlformats.org/officeDocument/2006/relationships/hyperlink" Target="https://www.ocregister.com/2026/04/30/5-warning-signs-health-care-fraud-could-be-driving-up-your-insurance-costs/" TargetMode="External"/><Relationship Id="rId14" Type="http://schemas.openxmlformats.org/officeDocument/2006/relationships/hyperlink" Target="https://www.fennemorelaw.com/u-s-healthcare-in-obbba-a-patchwork-of-big-changes/" TargetMode="External"/><Relationship Id="rId15" Type="http://schemas.openxmlformats.org/officeDocument/2006/relationships/hyperlink" Target="https://www.fennemorelaw.com/federal-and-californias-shared-interest-in-promoting-open-competition-isnt-it-ironic/" TargetMode="External"/><Relationship Id="rId16" Type="http://schemas.openxmlformats.org/officeDocument/2006/relationships/hyperlink" Target="https://www.fennemorelaw.com/californias-bold-experiment-with-whole-person-centered-care-has-it-worked/" TargetMode="External"/><Relationship Id="rId17" Type="http://schemas.openxmlformats.org/officeDocument/2006/relationships/hyperlink" Target="https://www.fennemorelaw.com/we-are-almost-back-to-normal-post-covid-except-when-it-comes-to-nurse-staffin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Katherine A. Bowles - Fennemore</dc:title>
  <dcterms:created xsi:type="dcterms:W3CDTF">2026-08-20T22:34:59Z</dcterms:created>
  <dcterms:modified xsi:type="dcterms:W3CDTF">2026-08-20T22:34:59Z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2026-08-20T00:00:00Z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2026-08-20T00:00:00Z</vt:filetime>
  </property>
  <property fmtid="{D5CDD505-2E9C-101B-9397-08002B2CF9AE}" pid="6" name="Producer">
    <vt:lpwstr>Skia/PDF m151</vt:lpwstr>
  </property>
</Properties>
</file>