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aura Emadi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60267" y="1369338"/>
                            <a:ext cx="198945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9455" h="320675">
                                <a:moveTo>
                                  <a:pt x="198941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89416" y="320382"/>
                                </a:lnTo>
                                <a:lnTo>
                                  <a:pt x="1989416" y="315214"/>
                                </a:lnTo>
                                <a:close/>
                              </a:path>
                              <a:path w="1989455" h="320675">
                                <a:moveTo>
                                  <a:pt x="1989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89416" y="5168"/>
                                </a:lnTo>
                                <a:lnTo>
                                  <a:pt x="1989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60116" y="763308"/>
                            <a:ext cx="200025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LAURA C.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EMADI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50033" y="1859626"/>
                            <a:ext cx="6203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Antonio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15180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17917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39151" y="2226505"/>
                            <a:ext cx="14420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lemadi@fennemorelaw.com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Laura Emadi bio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42;top:-2501;width:3133;height:505" id="docshape5" coordorigin="6943,-2500" coordsize="3133,505" path="m10076,-2004l6943,-2004,6943,-1996,10076,-1996,10076,-2004xm10076,-2500l6943,-2500,6943,-2492,10076,-2492,10076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42;top:-3455;width:3150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LAURA C.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EMADI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29;top:-1729;width:97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Antonio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29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210.447.8033</w:t>
                        </w:r>
                      </w:p>
                    </w:txbxContent>
                  </v:textbox>
                  <w10:wrap type="none"/>
                </v:shape>
                <v:shape style="position:absolute;left:8766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210.447.8036</w:t>
                        </w:r>
                      </w:p>
                    </w:txbxContent>
                  </v:textbox>
                  <w10:wrap type="none"/>
                </v:shape>
                <v:shape style="position:absolute;left:7382;top:-1151;width:227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lemadi@fennemorelaw.com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LAURA</w:t>
      </w:r>
      <w:r>
        <w:rPr>
          <w:color w:val="FF8100"/>
          <w:spacing w:val="6"/>
        </w:rPr>
        <w:t> </w:t>
      </w:r>
      <w:r>
        <w:rPr>
          <w:color w:val="FF8100"/>
        </w:rPr>
        <w:t>C.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EMADI</w:t>
      </w:r>
    </w:p>
    <w:p>
      <w:pPr>
        <w:pStyle w:val="BodyText"/>
        <w:spacing w:line="302" w:lineRule="auto" w:before="147"/>
      </w:pPr>
      <w:r>
        <w:rPr>
          <w:color w:val="6E6158"/>
        </w:rPr>
        <w:t>Laura C. Emadi is an attorney in Fennemore’s Labor &amp; Employment practice group based in San</w:t>
      </w:r>
      <w:r>
        <w:rPr>
          <w:color w:val="6E6158"/>
          <w:spacing w:val="40"/>
        </w:rPr>
        <w:t> </w:t>
      </w:r>
      <w:r>
        <w:rPr>
          <w:color w:val="6E6158"/>
        </w:rPr>
        <w:t>Antonio,</w:t>
      </w:r>
      <w:r>
        <w:rPr>
          <w:color w:val="6E6158"/>
          <w:spacing w:val="30"/>
        </w:rPr>
        <w:t> </w:t>
      </w:r>
      <w:r>
        <w:rPr>
          <w:color w:val="6E6158"/>
        </w:rPr>
        <w:t>Texas.</w:t>
      </w:r>
      <w:r>
        <w:rPr>
          <w:color w:val="6E6158"/>
          <w:spacing w:val="30"/>
        </w:rPr>
        <w:t> </w:t>
      </w:r>
      <w:r>
        <w:rPr>
          <w:color w:val="6E6158"/>
        </w:rPr>
        <w:t>She</w:t>
      </w:r>
      <w:r>
        <w:rPr>
          <w:color w:val="6E6158"/>
          <w:spacing w:val="30"/>
        </w:rPr>
        <w:t> </w:t>
      </w:r>
      <w:r>
        <w:rPr>
          <w:color w:val="6E6158"/>
        </w:rPr>
        <w:t>represents</w:t>
      </w:r>
      <w:r>
        <w:rPr>
          <w:color w:val="6E6158"/>
          <w:spacing w:val="30"/>
        </w:rPr>
        <w:t> </w:t>
      </w:r>
      <w:r>
        <w:rPr>
          <w:color w:val="6E6158"/>
        </w:rPr>
        <w:t>employers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management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all</w:t>
      </w:r>
      <w:r>
        <w:rPr>
          <w:color w:val="6E6158"/>
          <w:spacing w:val="30"/>
        </w:rPr>
        <w:t> </w:t>
      </w:r>
      <w:r>
        <w:rPr>
          <w:color w:val="6E6158"/>
        </w:rPr>
        <w:t>aspects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labor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/>
      </w:pPr>
      <w:r>
        <w:rPr>
          <w:color w:val="6E6158"/>
        </w:rPr>
        <w:t>employment law, providing both day-to-day employment counseling and litigation defense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federal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state</w:t>
      </w:r>
      <w:r>
        <w:rPr>
          <w:color w:val="6E6158"/>
          <w:spacing w:val="37"/>
        </w:rPr>
        <w:t> </w:t>
      </w:r>
      <w:r>
        <w:rPr>
          <w:color w:val="6E6158"/>
        </w:rPr>
        <w:t>courts.</w:t>
      </w:r>
      <w:r>
        <w:rPr>
          <w:color w:val="6E6158"/>
          <w:spacing w:val="37"/>
        </w:rPr>
        <w:t> </w:t>
      </w:r>
      <w:r>
        <w:rPr>
          <w:color w:val="6E6158"/>
        </w:rPr>
        <w:t>Laura</w:t>
      </w:r>
      <w:r>
        <w:rPr>
          <w:color w:val="6E6158"/>
          <w:spacing w:val="37"/>
        </w:rPr>
        <w:t> </w:t>
      </w:r>
      <w:r>
        <w:rPr>
          <w:color w:val="6E6158"/>
        </w:rPr>
        <w:t>advises</w:t>
      </w:r>
      <w:r>
        <w:rPr>
          <w:color w:val="6E6158"/>
          <w:spacing w:val="37"/>
        </w:rPr>
        <w:t> </w:t>
      </w:r>
      <w:r>
        <w:rPr>
          <w:color w:val="6E6158"/>
        </w:rPr>
        <w:t>businesses</w:t>
      </w:r>
      <w:r>
        <w:rPr>
          <w:color w:val="6E6158"/>
          <w:spacing w:val="37"/>
        </w:rPr>
        <w:t> </w:t>
      </w:r>
      <w:r>
        <w:rPr>
          <w:color w:val="6E6158"/>
        </w:rPr>
        <w:t>on</w:t>
      </w:r>
      <w:r>
        <w:rPr>
          <w:color w:val="6E6158"/>
          <w:spacing w:val="37"/>
        </w:rPr>
        <w:t> </w:t>
      </w:r>
      <w:r>
        <w:rPr>
          <w:color w:val="6E6158"/>
        </w:rPr>
        <w:t>workplace</w:t>
      </w:r>
      <w:r>
        <w:rPr>
          <w:color w:val="6E6158"/>
          <w:spacing w:val="37"/>
        </w:rPr>
        <w:t> </w:t>
      </w:r>
      <w:r>
        <w:rPr>
          <w:color w:val="6E6158"/>
        </w:rPr>
        <w:t>policies,</w:t>
      </w:r>
      <w:r>
        <w:rPr>
          <w:color w:val="6E6158"/>
          <w:spacing w:val="37"/>
        </w:rPr>
        <w:t> </w:t>
      </w:r>
      <w:r>
        <w:rPr>
          <w:color w:val="6E6158"/>
        </w:rPr>
        <w:t>employment</w:t>
      </w:r>
    </w:p>
    <w:p>
      <w:pPr>
        <w:pStyle w:val="BodyText"/>
        <w:spacing w:line="292" w:lineRule="auto"/>
        <w:ind w:right="289"/>
      </w:pPr>
      <w:r>
        <w:rPr>
          <w:color w:val="6E6158"/>
        </w:rPr>
        <w:t>compliance, employee relations, and risk management, and defends employers in disputes</w:t>
      </w:r>
      <w:r>
        <w:rPr>
          <w:color w:val="6E6158"/>
          <w:spacing w:val="40"/>
        </w:rPr>
        <w:t> </w:t>
      </w:r>
      <w:r>
        <w:rPr>
          <w:color w:val="6E6158"/>
        </w:rPr>
        <w:t>involving workplace discrimination, harassment, retaliation, wrongful termination, wage and </w:t>
      </w:r>
      <w:r>
        <w:rPr>
          <w:color w:val="6E6158"/>
        </w:rPr>
        <w:t>hour</w:t>
      </w:r>
      <w:r>
        <w:rPr>
          <w:color w:val="6E6158"/>
          <w:spacing w:val="40"/>
        </w:rPr>
        <w:t>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leave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accommodation</w:t>
      </w:r>
      <w:r>
        <w:rPr>
          <w:color w:val="6E6158"/>
          <w:spacing w:val="40"/>
        </w:rPr>
        <w:t> </w:t>
      </w:r>
      <w:r>
        <w:rPr>
          <w:color w:val="6E6158"/>
        </w:rPr>
        <w:t>issues,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other</w:t>
      </w:r>
      <w:r>
        <w:rPr>
          <w:color w:val="6E6158"/>
          <w:spacing w:val="40"/>
        </w:rPr>
        <w:t> </w:t>
      </w:r>
      <w:r>
        <w:rPr>
          <w:color w:val="6E6158"/>
        </w:rPr>
        <w:t>employment-related</w:t>
      </w:r>
      <w:r>
        <w:rPr>
          <w:color w:val="6E6158"/>
          <w:spacing w:val="40"/>
        </w:rPr>
        <w:t> </w:t>
      </w:r>
      <w:r>
        <w:rPr>
          <w:color w:val="6E6158"/>
        </w:rPr>
        <w:t>claims.</w:t>
      </w:r>
    </w:p>
    <w:p>
      <w:pPr>
        <w:pStyle w:val="BodyText"/>
        <w:spacing w:line="295" w:lineRule="auto" w:before="197"/>
        <w:ind w:right="289"/>
      </w:pPr>
      <w:r>
        <w:rPr>
          <w:color w:val="6E6158"/>
        </w:rPr>
        <w:t>Laura has extensive experience litigating claims under Title VII of the Civil Rights Act of 1964, the</w:t>
      </w:r>
      <w:r>
        <w:rPr>
          <w:color w:val="6E6158"/>
          <w:spacing w:val="40"/>
        </w:rPr>
        <w:t> </w:t>
      </w:r>
      <w:r>
        <w:rPr>
          <w:color w:val="6E6158"/>
        </w:rPr>
        <w:t>Americans with Disabilities Act (ADA), the Age Discrimination in Employment Act (ADEA), the</w:t>
      </w:r>
      <w:r>
        <w:rPr>
          <w:color w:val="6E6158"/>
          <w:spacing w:val="40"/>
        </w:rPr>
        <w:t> </w:t>
      </w:r>
      <w:r>
        <w:rPr>
          <w:color w:val="6E6158"/>
        </w:rPr>
        <w:t>Family and Medical Leave Act (FMLA), the Fair Labor Standards Act (FLSA), and comparable</w:t>
      </w:r>
      <w:r>
        <w:rPr>
          <w:color w:val="6E6158"/>
          <w:spacing w:val="40"/>
        </w:rPr>
        <w:t> </w:t>
      </w:r>
      <w:r>
        <w:rPr>
          <w:color w:val="6E6158"/>
        </w:rPr>
        <w:t>state employment laws across multiple jurisdictions. She partners with employers to develop</w:t>
      </w:r>
      <w:r>
        <w:rPr>
          <w:color w:val="6E6158"/>
          <w:spacing w:val="40"/>
        </w:rPr>
        <w:t> </w:t>
      </w:r>
      <w:r>
        <w:rPr>
          <w:color w:val="6E6158"/>
        </w:rPr>
        <w:t>practical</w:t>
      </w:r>
      <w:r>
        <w:rPr>
          <w:color w:val="6E6158"/>
          <w:spacing w:val="37"/>
        </w:rPr>
        <w:t> </w:t>
      </w:r>
      <w:r>
        <w:rPr>
          <w:color w:val="6E6158"/>
        </w:rPr>
        <w:t>legal</w:t>
      </w:r>
      <w:r>
        <w:rPr>
          <w:color w:val="6E6158"/>
          <w:spacing w:val="37"/>
        </w:rPr>
        <w:t> </w:t>
      </w:r>
      <w:r>
        <w:rPr>
          <w:color w:val="6E6158"/>
        </w:rPr>
        <w:t>strategies</w:t>
      </w:r>
      <w:r>
        <w:rPr>
          <w:color w:val="6E6158"/>
          <w:spacing w:val="37"/>
        </w:rPr>
        <w:t> </w:t>
      </w:r>
      <w:r>
        <w:rPr>
          <w:color w:val="6E6158"/>
        </w:rPr>
        <w:t>that</w:t>
      </w:r>
      <w:r>
        <w:rPr>
          <w:color w:val="6E6158"/>
          <w:spacing w:val="37"/>
        </w:rPr>
        <w:t> </w:t>
      </w:r>
      <w:r>
        <w:rPr>
          <w:color w:val="6E6158"/>
        </w:rPr>
        <w:t>minimize</w:t>
      </w:r>
      <w:r>
        <w:rPr>
          <w:color w:val="6E6158"/>
          <w:spacing w:val="37"/>
        </w:rPr>
        <w:t> </w:t>
      </w:r>
      <w:r>
        <w:rPr>
          <w:color w:val="6E6158"/>
        </w:rPr>
        <w:t>workplace</w:t>
      </w:r>
      <w:r>
        <w:rPr>
          <w:color w:val="6E6158"/>
          <w:spacing w:val="37"/>
        </w:rPr>
        <w:t> </w:t>
      </w:r>
      <w:r>
        <w:rPr>
          <w:color w:val="6E6158"/>
        </w:rPr>
        <w:t>risk,</w:t>
      </w:r>
      <w:r>
        <w:rPr>
          <w:color w:val="6E6158"/>
          <w:spacing w:val="37"/>
        </w:rPr>
        <w:t> </w:t>
      </w:r>
      <w:r>
        <w:rPr>
          <w:color w:val="6E6158"/>
        </w:rPr>
        <w:t>ensure</w:t>
      </w:r>
      <w:r>
        <w:rPr>
          <w:color w:val="6E6158"/>
          <w:spacing w:val="37"/>
        </w:rPr>
        <w:t> </w:t>
      </w:r>
      <w:r>
        <w:rPr>
          <w:color w:val="6E6158"/>
        </w:rPr>
        <w:t>compliance</w:t>
      </w:r>
      <w:r>
        <w:rPr>
          <w:color w:val="6E6158"/>
          <w:spacing w:val="37"/>
        </w:rPr>
        <w:t> </w:t>
      </w:r>
      <w:r>
        <w:rPr>
          <w:color w:val="6E6158"/>
        </w:rPr>
        <w:t>with</w:t>
      </w:r>
      <w:r>
        <w:rPr>
          <w:color w:val="6E6158"/>
          <w:spacing w:val="37"/>
        </w:rPr>
        <w:t> </w:t>
      </w:r>
      <w:r>
        <w:rPr>
          <w:color w:val="6E6158"/>
        </w:rPr>
        <w:t>evolving</w:t>
      </w:r>
    </w:p>
    <w:p>
      <w:pPr>
        <w:pStyle w:val="BodyText"/>
        <w:spacing w:before="8"/>
      </w:pPr>
      <w:r>
        <w:rPr>
          <w:color w:val="6E6158"/>
        </w:rPr>
        <w:t>employment</w:t>
      </w:r>
      <w:r>
        <w:rPr>
          <w:color w:val="6E6158"/>
          <w:spacing w:val="12"/>
        </w:rPr>
        <w:t> </w:t>
      </w:r>
      <w:r>
        <w:rPr>
          <w:color w:val="6E6158"/>
        </w:rPr>
        <w:t>laws,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resolve</w:t>
      </w:r>
      <w:r>
        <w:rPr>
          <w:color w:val="6E6158"/>
          <w:spacing w:val="14"/>
        </w:rPr>
        <w:t> </w:t>
      </w:r>
      <w:r>
        <w:rPr>
          <w:color w:val="6E6158"/>
        </w:rPr>
        <w:t>disputes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efficiently.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289"/>
      </w:pPr>
      <w:r>
        <w:rPr>
          <w:color w:val="6E6158"/>
        </w:rPr>
        <w:t>Before concentrating her practice on labor and employment law, Laura represented </w:t>
      </w:r>
      <w:r>
        <w:rPr>
          <w:color w:val="6E6158"/>
        </w:rPr>
        <w:t>businesses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commercial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business</w:t>
      </w:r>
      <w:r>
        <w:rPr>
          <w:color w:val="6E6158"/>
          <w:spacing w:val="34"/>
        </w:rPr>
        <w:t> </w:t>
      </w:r>
      <w:r>
        <w:rPr>
          <w:color w:val="6E6158"/>
        </w:rPr>
        <w:t>litigation,</w:t>
      </w:r>
      <w:r>
        <w:rPr>
          <w:color w:val="6E6158"/>
          <w:spacing w:val="34"/>
        </w:rPr>
        <w:t> </w:t>
      </w:r>
      <w:r>
        <w:rPr>
          <w:color w:val="6E6158"/>
        </w:rPr>
        <w:t>handling</w:t>
      </w:r>
      <w:r>
        <w:rPr>
          <w:color w:val="6E6158"/>
          <w:spacing w:val="34"/>
        </w:rPr>
        <w:t> </w:t>
      </w:r>
      <w:r>
        <w:rPr>
          <w:color w:val="6E6158"/>
        </w:rPr>
        <w:t>contract</w:t>
      </w:r>
      <w:r>
        <w:rPr>
          <w:color w:val="6E6158"/>
          <w:spacing w:val="34"/>
        </w:rPr>
        <w:t> </w:t>
      </w:r>
      <w:r>
        <w:rPr>
          <w:color w:val="6E6158"/>
        </w:rPr>
        <w:t>disputes,</w:t>
      </w:r>
      <w:r>
        <w:rPr>
          <w:color w:val="6E6158"/>
          <w:spacing w:val="34"/>
        </w:rPr>
        <w:t> </w:t>
      </w:r>
      <w:r>
        <w:rPr>
          <w:color w:val="6E6158"/>
        </w:rPr>
        <w:t>business</w:t>
      </w:r>
      <w:r>
        <w:rPr>
          <w:color w:val="6E6158"/>
          <w:spacing w:val="34"/>
        </w:rPr>
        <w:t> </w:t>
      </w:r>
      <w:r>
        <w:rPr>
          <w:color w:val="6E6158"/>
        </w:rPr>
        <w:t>torts,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other</w:t>
      </w:r>
    </w:p>
    <w:p>
      <w:pPr>
        <w:pStyle w:val="BodyText"/>
        <w:spacing w:line="297" w:lineRule="auto" w:before="1"/>
        <w:ind w:right="289"/>
      </w:pPr>
      <w:r>
        <w:rPr>
          <w:color w:val="6E6158"/>
        </w:rPr>
        <w:t>complex civil litigation matters. She also began her legal career practicing personal injury law in</w:t>
      </w:r>
      <w:r>
        <w:rPr>
          <w:color w:val="6E6158"/>
          <w:spacing w:val="40"/>
        </w:rPr>
        <w:t> </w:t>
      </w:r>
      <w:r>
        <w:rPr>
          <w:color w:val="6E6158"/>
        </w:rPr>
        <w:t>Austin, Texas, giving her broad litigation experience that strengthens her advocacy for </w:t>
      </w:r>
      <w:r>
        <w:rPr>
          <w:color w:val="6E6158"/>
        </w:rPr>
        <w:t>employers</w:t>
      </w:r>
      <w:r>
        <w:rPr>
          <w:color w:val="6E6158"/>
          <w:spacing w:val="80"/>
        </w:rPr>
        <w:t> </w:t>
      </w:r>
      <w:r>
        <w:rPr>
          <w:color w:val="6E6158"/>
        </w:rPr>
        <w:t>in high-stakes employment disputes.</w:t>
      </w:r>
    </w:p>
    <w:p>
      <w:pPr>
        <w:pStyle w:val="BodyText"/>
        <w:spacing w:line="295" w:lineRule="auto" w:before="192"/>
        <w:ind w:right="346"/>
      </w:pPr>
      <w:r>
        <w:rPr>
          <w:color w:val="6E6158"/>
        </w:rPr>
        <w:t>Laura earned her Bachelor of Arts from the University of Virginia before moving to San Antonio,</w:t>
      </w:r>
      <w:r>
        <w:rPr>
          <w:color w:val="6E6158"/>
          <w:spacing w:val="40"/>
        </w:rPr>
        <w:t> </w:t>
      </w:r>
      <w:r>
        <w:rPr>
          <w:color w:val="6E6158"/>
        </w:rPr>
        <w:t>where she spent three years teaching middle school and high school mathematics at a</w:t>
      </w:r>
      <w:r>
        <w:rPr>
          <w:color w:val="6E6158"/>
          <w:spacing w:val="40"/>
        </w:rPr>
        <w:t> </w:t>
      </w:r>
      <w:r>
        <w:rPr>
          <w:color w:val="6E6158"/>
        </w:rPr>
        <w:t>disciplinary school. That experience sharpened her communication, problem-solving, and</w:t>
      </w:r>
      <w:r>
        <w:rPr>
          <w:color w:val="6E6158"/>
          <w:spacing w:val="40"/>
        </w:rPr>
        <w:t> </w:t>
      </w:r>
      <w:r>
        <w:rPr>
          <w:color w:val="6E6158"/>
        </w:rPr>
        <w:t>conflict-resolution</w:t>
      </w:r>
      <w:r>
        <w:rPr>
          <w:color w:val="6E6158"/>
          <w:spacing w:val="29"/>
        </w:rPr>
        <w:t> </w:t>
      </w:r>
      <w:r>
        <w:rPr>
          <w:color w:val="6E6158"/>
        </w:rPr>
        <w:t>skills—qualities</w:t>
      </w:r>
      <w:r>
        <w:rPr>
          <w:color w:val="6E6158"/>
          <w:spacing w:val="29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continues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bring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advising</w:t>
      </w:r>
      <w:r>
        <w:rPr>
          <w:color w:val="6E6158"/>
          <w:spacing w:val="29"/>
        </w:rPr>
        <w:t> </w:t>
      </w:r>
      <w:r>
        <w:rPr>
          <w:color w:val="6E6158"/>
        </w:rPr>
        <w:t>employers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navigating</w:t>
      </w:r>
    </w:p>
    <w:p>
      <w:pPr>
        <w:pStyle w:val="BodyText"/>
        <w:spacing w:line="297" w:lineRule="auto" w:before="1"/>
        <w:ind w:right="153"/>
        <w:jc w:val="both"/>
      </w:pPr>
      <w:r>
        <w:rPr>
          <w:color w:val="6E6158"/>
        </w:rPr>
        <w:t>complex workplace issues. She earned her J.D. from The University of Texas School of Law, where she served as a senior law clerk in the Travis County Attorney’s Office Criminal Appellate Division, gaining valuable trial and appellate experience.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5461"/>
      </w:pPr>
      <w:r>
        <w:rPr>
          <w:color w:val="6E6158"/>
        </w:rPr>
        <w:t>J.D., University of Texas School of </w:t>
      </w:r>
      <w:r>
        <w:rPr>
          <w:color w:val="6E6158"/>
        </w:rPr>
        <w:t>Law</w:t>
      </w:r>
      <w:r>
        <w:rPr>
          <w:color w:val="6E6158"/>
        </w:rPr>
        <w:t> B.A., University of Virginia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Labor</w:t>
      </w:r>
      <w:r>
        <w:rPr>
          <w:color w:val="6E6158"/>
          <w:spacing w:val="7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Employment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7" w:lineRule="auto"/>
      </w:pPr>
      <w:r>
        <w:rPr>
          <w:color w:val="6E6158"/>
        </w:rPr>
        <w:t>Represented a major company defending against claims of racial discrimination and </w:t>
      </w:r>
      <w:r>
        <w:rPr>
          <w:color w:val="6E6158"/>
        </w:rPr>
        <w:t>retaliation</w:t>
      </w:r>
      <w:r>
        <w:rPr>
          <w:color w:val="6E6158"/>
          <w:spacing w:val="40"/>
        </w:rPr>
        <w:t> </w:t>
      </w:r>
      <w:r>
        <w:rPr>
          <w:color w:val="6E6158"/>
        </w:rPr>
        <w:t>under Title VII, prevailed on a summary judgment motion dismissing all of plaintiff’s claims, and</w:t>
      </w:r>
      <w:r>
        <w:rPr>
          <w:color w:val="6E6158"/>
          <w:spacing w:val="40"/>
        </w:rPr>
        <w:t> </w:t>
      </w:r>
      <w:r>
        <w:rPr>
          <w:color w:val="6E6158"/>
        </w:rPr>
        <w:t>ultimately prevailing on appeal before the 5th Circuit.</w:t>
      </w:r>
    </w:p>
    <w:p>
      <w:pPr>
        <w:pStyle w:val="BodyText"/>
        <w:spacing w:line="295" w:lineRule="auto" w:before="118"/>
        <w:ind w:right="346"/>
      </w:pPr>
      <w:r>
        <w:rPr>
          <w:color w:val="6E6158"/>
        </w:rPr>
        <w:t>Defended a major company in claims brought by a current employee arguing racial discrimination and retaliation under Section1981 and Chapter 760 of the Florida Statute,</w:t>
      </w:r>
      <w:r>
        <w:rPr>
          <w:color w:val="6E6158"/>
          <w:spacing w:val="40"/>
        </w:rPr>
        <w:t> </w:t>
      </w:r>
      <w:r>
        <w:rPr>
          <w:color w:val="6E6158"/>
        </w:rPr>
        <w:t>dismissing the retaliation claims as preempted under the LMRA, and ultimately prevailing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summary judgment on the plaintiff’s remaining racial discrimination claim.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</w:pPr>
      <w:r>
        <w:rPr>
          <w:color w:val="6E6158"/>
        </w:rPr>
        <w:t>Best Lawyers in America: Ones to Watch®, in Labor and Employment Law – Management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Litigation – Labor and Employment, 2026</w:t>
      </w:r>
    </w:p>
    <w:p>
      <w:pPr>
        <w:pStyle w:val="BodyText"/>
        <w:spacing w:line="412" w:lineRule="auto" w:before="103"/>
        <w:ind w:right="2987"/>
      </w:pPr>
      <w:r>
        <w:rPr>
          <w:color w:val="6E6158"/>
        </w:rPr>
        <w:t>Top Labor and Employment Attorney, </w:t>
      </w:r>
      <w:r>
        <w:rPr>
          <w:i/>
          <w:color w:val="6E6158"/>
          <w:sz w:val="20"/>
        </w:rPr>
        <w:t>San Antonio Magazine</w:t>
      </w:r>
      <w:r>
        <w:rPr>
          <w:color w:val="6E6158"/>
        </w:rPr>
        <w:t>, </w:t>
      </w:r>
      <w:r>
        <w:rPr>
          <w:color w:val="6E6158"/>
        </w:rPr>
        <w:t>2025 Best Labor And Employment Lawyers, Scene in S.A. 2022 – 2024</w:t>
      </w:r>
      <w:r>
        <w:rPr>
          <w:color w:val="6E6158"/>
          <w:spacing w:val="40"/>
        </w:rPr>
        <w:t> </w:t>
      </w:r>
      <w:r>
        <w:rPr>
          <w:color w:val="6E6158"/>
        </w:rPr>
        <w:t>Rising Star San Antonio Lawyer, Scene in S.A., 2023 – 2024</w:t>
      </w:r>
    </w:p>
    <w:p>
      <w:pPr>
        <w:pStyle w:val="BodyText"/>
        <w:spacing w:before="16"/>
      </w:pPr>
      <w:r>
        <w:rPr>
          <w:color w:val="6E6158"/>
        </w:rPr>
        <w:t>San</w:t>
      </w:r>
      <w:r>
        <w:rPr>
          <w:color w:val="6E6158"/>
          <w:spacing w:val="11"/>
        </w:rPr>
        <w:t> </w:t>
      </w:r>
      <w:r>
        <w:rPr>
          <w:color w:val="6E6158"/>
        </w:rPr>
        <w:t>Antonio’s</w:t>
      </w:r>
      <w:r>
        <w:rPr>
          <w:color w:val="6E6158"/>
          <w:spacing w:val="11"/>
        </w:rPr>
        <w:t> </w:t>
      </w:r>
      <w:r>
        <w:rPr>
          <w:color w:val="6E6158"/>
        </w:rPr>
        <w:t>Outstanding</w:t>
      </w:r>
      <w:r>
        <w:rPr>
          <w:color w:val="6E6158"/>
          <w:spacing w:val="11"/>
        </w:rPr>
        <w:t> </w:t>
      </w:r>
      <w:r>
        <w:rPr>
          <w:color w:val="6E6158"/>
        </w:rPr>
        <w:t>Women</w:t>
      </w:r>
      <w:r>
        <w:rPr>
          <w:color w:val="6E6158"/>
          <w:spacing w:val="11"/>
        </w:rPr>
        <w:t> </w:t>
      </w:r>
      <w:r>
        <w:rPr>
          <w:color w:val="6E6158"/>
        </w:rPr>
        <w:t>Lawyers,</w:t>
      </w:r>
      <w:r>
        <w:rPr>
          <w:color w:val="6E6158"/>
          <w:spacing w:val="11"/>
        </w:rPr>
        <w:t> </w:t>
      </w:r>
      <w:r>
        <w:rPr>
          <w:color w:val="6E6158"/>
        </w:rPr>
        <w:t>Scene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S.A.,</w:t>
      </w:r>
      <w:r>
        <w:rPr>
          <w:color w:val="6E6158"/>
          <w:spacing w:val="11"/>
        </w:rPr>
        <w:t> </w:t>
      </w:r>
      <w:r>
        <w:rPr>
          <w:color w:val="6E6158"/>
        </w:rPr>
        <w:t>2022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74"/>
        <w:ind w:right="2020"/>
      </w:pPr>
      <w:r>
        <w:rPr>
          <w:color w:val="6E6158"/>
        </w:rPr>
        <w:t>Top Labor and Employment Attorney, San Antonio Magazine, 2022 – </w:t>
      </w:r>
      <w:r>
        <w:rPr>
          <w:color w:val="6E6158"/>
        </w:rPr>
        <w:t>2023 Super Lawyers Rising Star, 2021 – 2022</w:t>
      </w:r>
    </w:p>
    <w:p>
      <w:pPr>
        <w:pStyle w:val="Heading1"/>
        <w:spacing w:before="29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Co-Author, Dylan, “A Brave New World After Hamilton v. Dallas County,” 110 Advocate 41, </w:t>
      </w:r>
      <w:r>
        <w:rPr>
          <w:color w:val="6E6158"/>
        </w:rPr>
        <w:t>Spring </w:t>
      </w:r>
      <w:r>
        <w:rPr>
          <w:color w:val="6E6158"/>
          <w:spacing w:val="-4"/>
        </w:rPr>
        <w:t>2025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438"/>
      </w:pPr>
      <w:r>
        <w:rPr>
          <w:color w:val="6E6158"/>
        </w:rPr>
        <w:t>Treasurer, Labor and Employment Law Section, San Antonio Bar Association, 2024-2025, 2025 – 2026, 2026-2027</w:t>
      </w:r>
    </w:p>
    <w:p>
      <w:pPr>
        <w:pStyle w:val="BodyText"/>
        <w:spacing w:line="420" w:lineRule="auto" w:before="113"/>
        <w:ind w:right="4114"/>
      </w:pPr>
      <w:r>
        <w:rPr>
          <w:color w:val="6E6158"/>
        </w:rPr>
        <w:t>Member, William S. Sessions American Inn of </w:t>
      </w:r>
      <w:r>
        <w:rPr>
          <w:color w:val="6E6158"/>
        </w:rPr>
        <w:t>Court Member, Bexar County Women’s Bar Association Member, San Antonio Bar Association</w:t>
      </w:r>
    </w:p>
    <w:p>
      <w:pPr>
        <w:pStyle w:val="BodyText"/>
        <w:spacing w:line="420" w:lineRule="auto" w:before="6"/>
        <w:ind w:right="4114"/>
      </w:pPr>
      <w:r>
        <w:rPr>
          <w:color w:val="6E6158"/>
        </w:rPr>
        <w:t>Member, San Antonio Young Lawyers </w:t>
      </w:r>
      <w:r>
        <w:rPr>
          <w:color w:val="6E6158"/>
        </w:rPr>
        <w:t>Association Fellow, Texas Bar Foundation</w:t>
      </w:r>
    </w:p>
    <w:p>
      <w:pPr>
        <w:pStyle w:val="Heading1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Texas</w:t>
      </w:r>
    </w:p>
    <w:p>
      <w:pPr>
        <w:pStyle w:val="BodyText"/>
        <w:spacing w:after="0"/>
        <w:sectPr>
          <w:pgSz w:w="12240" w:h="15840"/>
          <w:pgMar w:top="58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Courts,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Courts,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Wisconsin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5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9"/>
        </w:rPr>
        <w:t> </w:t>
      </w:r>
      <w:r>
        <w:rPr>
          <w:color w:val="6E6158"/>
        </w:rPr>
        <w:t>5</w:t>
      </w:r>
      <w:r>
        <w:rPr>
          <w:color w:val="6E6158"/>
          <w:position w:val="7"/>
          <w:sz w:val="16"/>
        </w:rPr>
        <w:t>th</w:t>
      </w:r>
      <w:r>
        <w:rPr>
          <w:color w:val="6E6158"/>
          <w:spacing w:val="17"/>
          <w:position w:val="7"/>
          <w:sz w:val="16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san-antonio/" TargetMode="External"/><Relationship Id="rId10" Type="http://schemas.openxmlformats.org/officeDocument/2006/relationships/hyperlink" Target="mailto:lemadi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Laura C. Emadi - Fennemore</dc:title>
  <dcterms:created xsi:type="dcterms:W3CDTF">2026-08-12T21:05:38Z</dcterms:created>
  <dcterms:modified xsi:type="dcterms:W3CDTF">2026-08-12T21:05:38Z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2026-08-12T00:00:00Z</vt:filetime>
  </property>
  <property fmtid="{D5CDD505-2E9C-101B-9397-08002B2CF9AE}" pid="6" name="Producer">
    <vt:lpwstr>Skia/PDF m150</vt:lpwstr>
  </property>
</Properties>
</file>