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36"/>
        <w:rPr>
          <w:rFonts w:ascii="Times New Roman"/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esleyMille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96437" y="1369338"/>
                            <a:ext cx="191198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985" h="320675">
                                <a:moveTo>
                                  <a:pt x="1911908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11908" y="320382"/>
                                </a:lnTo>
                                <a:lnTo>
                                  <a:pt x="1911908" y="315214"/>
                                </a:lnTo>
                                <a:close/>
                              </a:path>
                              <a:path w="1911985" h="320675">
                                <a:moveTo>
                                  <a:pt x="1911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11908" y="5168"/>
                                </a:lnTo>
                                <a:lnTo>
                                  <a:pt x="1911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98386" y="763308"/>
                            <a:ext cx="1923414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LESLEY B.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MILLER</w:t>
                              </w:r>
                            </w:p>
                            <w:p>
                              <w:pPr>
                                <w:spacing w:before="39"/>
                                <w:ind w:left="0" w:right="17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05339" y="1859626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34316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698782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73546" y="2226505"/>
                            <a:ext cx="13728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lmiller@fennemorelaw.com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LesleyMiller bio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99;top:-2501;width:3011;height:505" id="docshape5" coordorigin="7000,-2500" coordsize="3011,505" path="m10011,-2004l7000,-2004,7000,-1996,10011,-1996,10011,-2004xm10011,-2500l7000,-2500,7000,-2492,10011,-2492,10011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02;top:-3455;width:3029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LESLEY B.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MILLER</w:t>
                        </w:r>
                      </w:p>
                      <w:p>
                        <w:pPr>
                          <w:spacing w:before="39"/>
                          <w:ind w:left="0" w:right="17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1729;width:80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59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702.692.8014</w:t>
                        </w:r>
                      </w:p>
                    </w:txbxContent>
                  </v:textbox>
                  <w10:wrap type="none"/>
                </v:shape>
                <v:shape style="position:absolute;left:8735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702.692.8099</w:t>
                        </w:r>
                      </w:p>
                    </w:txbxContent>
                  </v:textbox>
                  <w10:wrap type="none"/>
                </v:shape>
                <v:shape style="position:absolute;left:7436;top:-1151;width:2162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lmiller@fennemorelaw.com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LESLEY</w:t>
      </w:r>
      <w:r>
        <w:rPr>
          <w:color w:val="FF8100"/>
          <w:spacing w:val="5"/>
        </w:rPr>
        <w:t> </w:t>
      </w:r>
      <w:r>
        <w:rPr>
          <w:color w:val="FF8100"/>
        </w:rPr>
        <w:t>B.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MILLER</w:t>
      </w:r>
    </w:p>
    <w:p>
      <w:pPr>
        <w:pStyle w:val="BodyText"/>
        <w:spacing w:line="297" w:lineRule="auto" w:before="147"/>
        <w:ind w:left="99" w:right="117"/>
        <w:jc w:val="both"/>
      </w:pPr>
      <w:r>
        <w:rPr>
          <w:color w:val="6E6158"/>
        </w:rPr>
        <w:t>Lesley Miller is a Las Vegas administrative and regulatory attorney who helps businesses navigate Nevada licensing requirements, agency proceedings and regulatory compliance. As Of </w:t>
      </w:r>
      <w:r>
        <w:rPr>
          <w:color w:val="6E6158"/>
        </w:rPr>
        <w:t>Counsel</w:t>
      </w:r>
      <w:r>
        <w:rPr>
          <w:color w:val="6E6158"/>
          <w:spacing w:val="80"/>
        </w:rPr>
        <w:t> </w:t>
      </w:r>
      <w:r>
        <w:rPr>
          <w:color w:val="6E6158"/>
        </w:rPr>
        <w:t>at</w:t>
      </w:r>
      <w:r>
        <w:rPr>
          <w:color w:val="6E6158"/>
          <w:spacing w:val="32"/>
        </w:rPr>
        <w:t> </w:t>
      </w:r>
      <w:r>
        <w:rPr>
          <w:color w:val="6E6158"/>
        </w:rPr>
        <w:t>Fennemore,</w:t>
      </w:r>
      <w:r>
        <w:rPr>
          <w:color w:val="6E6158"/>
          <w:spacing w:val="32"/>
        </w:rPr>
        <w:t> </w:t>
      </w:r>
      <w:r>
        <w:rPr>
          <w:color w:val="6E6158"/>
        </w:rPr>
        <w:t>she</w:t>
      </w:r>
      <w:r>
        <w:rPr>
          <w:color w:val="6E6158"/>
          <w:spacing w:val="32"/>
        </w:rPr>
        <w:t> </w:t>
      </w:r>
      <w:r>
        <w:rPr>
          <w:color w:val="6E6158"/>
        </w:rPr>
        <w:t>represents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matters</w:t>
      </w:r>
      <w:r>
        <w:rPr>
          <w:color w:val="6E6158"/>
          <w:spacing w:val="32"/>
        </w:rPr>
        <w:t> </w:t>
      </w:r>
      <w:r>
        <w:rPr>
          <w:color w:val="6E6158"/>
        </w:rPr>
        <w:t>involving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Nevada</w:t>
      </w:r>
      <w:r>
        <w:rPr>
          <w:color w:val="6E6158"/>
          <w:spacing w:val="32"/>
        </w:rPr>
        <w:t> </w:t>
      </w:r>
      <w:r>
        <w:rPr>
          <w:color w:val="6E6158"/>
        </w:rPr>
        <w:t>Gaming</w:t>
      </w:r>
      <w:r>
        <w:rPr>
          <w:color w:val="6E6158"/>
          <w:spacing w:val="32"/>
        </w:rPr>
        <w:t> </w:t>
      </w:r>
      <w:r>
        <w:rPr>
          <w:color w:val="6E6158"/>
        </w:rPr>
        <w:t>Control</w:t>
      </w:r>
      <w:r>
        <w:rPr>
          <w:color w:val="6E6158"/>
          <w:spacing w:val="32"/>
        </w:rPr>
        <w:t> </w:t>
      </w:r>
      <w:r>
        <w:rPr>
          <w:color w:val="6E6158"/>
        </w:rPr>
        <w:t>Board,</w:t>
      </w:r>
    </w:p>
    <w:p>
      <w:pPr>
        <w:pStyle w:val="BodyText"/>
        <w:spacing w:line="302" w:lineRule="auto"/>
        <w:ind w:left="99" w:right="1022"/>
        <w:jc w:val="both"/>
      </w:pPr>
      <w:r>
        <w:rPr>
          <w:color w:val="6E6158"/>
        </w:rPr>
        <w:t>Nevada Transportation Authority and Nevada State Contractors Board, as well as </w:t>
      </w:r>
      <w:r>
        <w:rPr>
          <w:color w:val="6E6158"/>
        </w:rPr>
        <w:t>other regulated industries.</w:t>
      </w:r>
    </w:p>
    <w:p>
      <w:pPr>
        <w:pStyle w:val="BodyText"/>
        <w:spacing w:line="292" w:lineRule="auto" w:before="182"/>
        <w:ind w:left="99" w:right="419"/>
        <w:jc w:val="both"/>
      </w:pPr>
      <w:r>
        <w:rPr>
          <w:color w:val="6E6158"/>
        </w:rPr>
        <w:t>Lesley advises businesses on administrative law, gaming law, licensing, regulatory </w:t>
      </w:r>
      <w:r>
        <w:rPr>
          <w:color w:val="6E6158"/>
        </w:rPr>
        <w:t>compliance and</w:t>
      </w:r>
      <w:r>
        <w:rPr>
          <w:color w:val="6E6158"/>
          <w:spacing w:val="35"/>
        </w:rPr>
        <w:t> </w:t>
      </w:r>
      <w:r>
        <w:rPr>
          <w:color w:val="6E6158"/>
        </w:rPr>
        <w:t>government</w:t>
      </w:r>
      <w:r>
        <w:rPr>
          <w:color w:val="6E6158"/>
          <w:spacing w:val="35"/>
        </w:rPr>
        <w:t> </w:t>
      </w:r>
      <w:r>
        <w:rPr>
          <w:color w:val="6E6158"/>
        </w:rPr>
        <w:t>agency</w:t>
      </w:r>
      <w:r>
        <w:rPr>
          <w:color w:val="6E6158"/>
          <w:spacing w:val="35"/>
        </w:rPr>
        <w:t> </w:t>
      </w:r>
      <w:r>
        <w:rPr>
          <w:color w:val="6E6158"/>
        </w:rPr>
        <w:t>matters.</w:t>
      </w:r>
      <w:r>
        <w:rPr>
          <w:color w:val="6E6158"/>
          <w:spacing w:val="35"/>
        </w:rPr>
        <w:t> </w:t>
      </w:r>
      <w:r>
        <w:rPr>
          <w:color w:val="6E6158"/>
        </w:rPr>
        <w:t>She</w:t>
      </w:r>
      <w:r>
        <w:rPr>
          <w:color w:val="6E6158"/>
          <w:spacing w:val="35"/>
        </w:rPr>
        <w:t> </w:t>
      </w:r>
      <w:r>
        <w:rPr>
          <w:color w:val="6E6158"/>
        </w:rPr>
        <w:t>also</w:t>
      </w:r>
      <w:r>
        <w:rPr>
          <w:color w:val="6E6158"/>
          <w:spacing w:val="35"/>
        </w:rPr>
        <w:t> </w:t>
      </w:r>
      <w:r>
        <w:rPr>
          <w:color w:val="6E6158"/>
        </w:rPr>
        <w:t>handles</w:t>
      </w:r>
      <w:r>
        <w:rPr>
          <w:color w:val="6E6158"/>
          <w:spacing w:val="35"/>
        </w:rPr>
        <w:t> </w:t>
      </w:r>
      <w:r>
        <w:rPr>
          <w:color w:val="6E6158"/>
        </w:rPr>
        <w:t>civil</w:t>
      </w:r>
      <w:r>
        <w:rPr>
          <w:color w:val="6E6158"/>
          <w:spacing w:val="35"/>
        </w:rPr>
        <w:t> </w:t>
      </w:r>
      <w:r>
        <w:rPr>
          <w:color w:val="6E6158"/>
        </w:rPr>
        <w:t>litigation,</w:t>
      </w:r>
      <w:r>
        <w:rPr>
          <w:color w:val="6E6158"/>
          <w:spacing w:val="35"/>
        </w:rPr>
        <w:t> </w:t>
      </w:r>
      <w:r>
        <w:rPr>
          <w:color w:val="6E6158"/>
        </w:rPr>
        <w:t>including</w:t>
      </w:r>
      <w:r>
        <w:rPr>
          <w:color w:val="6E6158"/>
          <w:spacing w:val="35"/>
        </w:rPr>
        <w:t> </w:t>
      </w:r>
      <w:r>
        <w:rPr>
          <w:color w:val="6E6158"/>
        </w:rPr>
        <w:t>disputes</w:t>
      </w:r>
      <w:r>
        <w:rPr>
          <w:color w:val="6E6158"/>
          <w:spacing w:val="35"/>
        </w:rPr>
        <w:t> </w:t>
      </w:r>
      <w:r>
        <w:rPr>
          <w:color w:val="6E6158"/>
        </w:rPr>
        <w:t>that</w:t>
      </w:r>
    </w:p>
    <w:p>
      <w:pPr>
        <w:pStyle w:val="BodyText"/>
        <w:spacing w:line="297" w:lineRule="auto" w:before="1"/>
        <w:ind w:left="99" w:right="106"/>
        <w:jc w:val="both"/>
      </w:pPr>
      <w:r>
        <w:rPr>
          <w:color w:val="6E6158"/>
        </w:rPr>
        <w:t>intersect</w:t>
      </w:r>
      <w:r>
        <w:rPr>
          <w:color w:val="6E6158"/>
          <w:spacing w:val="21"/>
        </w:rPr>
        <w:t> </w:t>
      </w:r>
      <w:r>
        <w:rPr>
          <w:color w:val="6E6158"/>
        </w:rPr>
        <w:t>with</w:t>
      </w:r>
      <w:r>
        <w:rPr>
          <w:color w:val="6E6158"/>
          <w:spacing w:val="21"/>
        </w:rPr>
        <w:t> </w:t>
      </w:r>
      <w:r>
        <w:rPr>
          <w:color w:val="6E6158"/>
        </w:rPr>
        <w:t>agency</w:t>
      </w:r>
      <w:r>
        <w:rPr>
          <w:color w:val="6E6158"/>
          <w:spacing w:val="21"/>
        </w:rPr>
        <w:t> </w:t>
      </w:r>
      <w:r>
        <w:rPr>
          <w:color w:val="6E6158"/>
        </w:rPr>
        <w:t>enforcement,</w:t>
      </w:r>
      <w:r>
        <w:rPr>
          <w:color w:val="6E6158"/>
          <w:spacing w:val="21"/>
        </w:rPr>
        <w:t> </w:t>
      </w:r>
      <w:r>
        <w:rPr>
          <w:color w:val="6E6158"/>
        </w:rPr>
        <w:t>licensing</w:t>
      </w:r>
      <w:r>
        <w:rPr>
          <w:color w:val="6E6158"/>
          <w:spacing w:val="21"/>
        </w:rPr>
        <w:t> </w:t>
      </w:r>
      <w:r>
        <w:rPr>
          <w:color w:val="6E6158"/>
        </w:rPr>
        <w:t>issues</w:t>
      </w:r>
      <w:r>
        <w:rPr>
          <w:color w:val="6E6158"/>
          <w:spacing w:val="21"/>
        </w:rPr>
        <w:t> </w:t>
      </w:r>
      <w:r>
        <w:rPr>
          <w:color w:val="6E6158"/>
        </w:rPr>
        <w:t>or</w:t>
      </w:r>
      <w:r>
        <w:rPr>
          <w:color w:val="6E6158"/>
          <w:spacing w:val="21"/>
        </w:rPr>
        <w:t> </w:t>
      </w:r>
      <w:r>
        <w:rPr>
          <w:color w:val="6E6158"/>
        </w:rPr>
        <w:t>administrative</w:t>
      </w:r>
      <w:r>
        <w:rPr>
          <w:color w:val="6E6158"/>
          <w:spacing w:val="21"/>
        </w:rPr>
        <w:t> </w:t>
      </w:r>
      <w:r>
        <w:rPr>
          <w:color w:val="6E6158"/>
        </w:rPr>
        <w:t>proceedings.</w:t>
      </w:r>
      <w:r>
        <w:rPr>
          <w:color w:val="6E6158"/>
          <w:spacing w:val="21"/>
        </w:rPr>
        <w:t> </w:t>
      </w:r>
      <w:r>
        <w:rPr>
          <w:color w:val="6E6158"/>
        </w:rPr>
        <w:t>Her</w:t>
      </w:r>
      <w:r>
        <w:rPr>
          <w:color w:val="6E6158"/>
          <w:spacing w:val="21"/>
        </w:rPr>
        <w:t> </w:t>
      </w:r>
      <w:r>
        <w:rPr>
          <w:color w:val="6E6158"/>
        </w:rPr>
        <w:t>approach is practical and strategic, helping clients understand regulatory requirements, evaluate </w:t>
      </w:r>
      <w:r>
        <w:rPr>
          <w:color w:val="6E6158"/>
        </w:rPr>
        <w:t>available options and pursue efficient solutions to complex legal and business challenges.</w:t>
      </w:r>
    </w:p>
    <w:p>
      <w:pPr>
        <w:pStyle w:val="BodyText"/>
        <w:spacing w:line="295" w:lineRule="auto" w:before="192"/>
        <w:ind w:left="99" w:right="99"/>
      </w:pPr>
      <w:r>
        <w:rPr>
          <w:color w:val="6E6158"/>
        </w:rPr>
        <w:t>Before joining Fennemore, Lesley spent more than 15 years in private practice representing</w:t>
      </w:r>
      <w:r>
        <w:rPr>
          <w:color w:val="6E6158"/>
          <w:spacing w:val="40"/>
        </w:rPr>
        <w:t> </w:t>
      </w:r>
      <w:r>
        <w:rPr>
          <w:color w:val="6E6158"/>
        </w:rPr>
        <w:t>businesses in administrative, regulatory, and litigation matters. Her professional experience also</w:t>
      </w:r>
      <w:r>
        <w:rPr>
          <w:color w:val="6E6158"/>
          <w:spacing w:val="40"/>
        </w:rPr>
        <w:t> </w:t>
      </w:r>
      <w:r>
        <w:rPr>
          <w:color w:val="6E6158"/>
        </w:rPr>
        <w:t>includes</w:t>
      </w:r>
      <w:r>
        <w:rPr>
          <w:color w:val="6E6158"/>
          <w:spacing w:val="36"/>
        </w:rPr>
        <w:t> </w:t>
      </w:r>
      <w:r>
        <w:rPr>
          <w:color w:val="6E6158"/>
        </w:rPr>
        <w:t>civil</w:t>
      </w:r>
      <w:r>
        <w:rPr>
          <w:color w:val="6E6158"/>
          <w:spacing w:val="36"/>
        </w:rPr>
        <w:t> </w:t>
      </w:r>
      <w:r>
        <w:rPr>
          <w:color w:val="6E6158"/>
        </w:rPr>
        <w:t>litigation</w:t>
      </w:r>
      <w:r>
        <w:rPr>
          <w:color w:val="6E6158"/>
          <w:spacing w:val="36"/>
        </w:rPr>
        <w:t> </w:t>
      </w:r>
      <w:r>
        <w:rPr>
          <w:color w:val="6E6158"/>
        </w:rPr>
        <w:t>and</w:t>
      </w:r>
      <w:r>
        <w:rPr>
          <w:color w:val="6E6158"/>
          <w:spacing w:val="36"/>
        </w:rPr>
        <w:t> </w:t>
      </w:r>
      <w:r>
        <w:rPr>
          <w:color w:val="6E6158"/>
        </w:rPr>
        <w:t>insurance</w:t>
      </w:r>
      <w:r>
        <w:rPr>
          <w:color w:val="6E6158"/>
          <w:spacing w:val="36"/>
        </w:rPr>
        <w:t> </w:t>
      </w:r>
      <w:r>
        <w:rPr>
          <w:color w:val="6E6158"/>
        </w:rPr>
        <w:t>defense.</w:t>
      </w:r>
      <w:r>
        <w:rPr>
          <w:color w:val="6E6158"/>
          <w:spacing w:val="36"/>
        </w:rPr>
        <w:t> </w:t>
      </w:r>
      <w:r>
        <w:rPr>
          <w:color w:val="6E6158"/>
        </w:rPr>
        <w:t>She</w:t>
      </w:r>
      <w:r>
        <w:rPr>
          <w:color w:val="6E6158"/>
          <w:spacing w:val="36"/>
        </w:rPr>
        <w:t> </w:t>
      </w:r>
      <w:r>
        <w:rPr>
          <w:color w:val="6E6158"/>
        </w:rPr>
        <w:t>brings</w:t>
      </w:r>
      <w:r>
        <w:rPr>
          <w:color w:val="6E6158"/>
          <w:spacing w:val="36"/>
        </w:rPr>
        <w:t> </w:t>
      </w:r>
      <w:r>
        <w:rPr>
          <w:color w:val="6E6158"/>
        </w:rPr>
        <w:t>valuable</w:t>
      </w:r>
      <w:r>
        <w:rPr>
          <w:color w:val="6E6158"/>
          <w:spacing w:val="36"/>
        </w:rPr>
        <w:t> </w:t>
      </w:r>
      <w:r>
        <w:rPr>
          <w:color w:val="6E6158"/>
        </w:rPr>
        <w:t>public-sector</w:t>
      </w:r>
      <w:r>
        <w:rPr>
          <w:color w:val="6E6158"/>
          <w:spacing w:val="36"/>
        </w:rPr>
        <w:t> </w:t>
      </w:r>
      <w:r>
        <w:rPr>
          <w:color w:val="6E6158"/>
        </w:rPr>
        <w:t>experience</w:t>
      </w:r>
      <w:r>
        <w:rPr>
          <w:color w:val="6E6158"/>
          <w:spacing w:val="36"/>
        </w:rPr>
        <w:t> </w:t>
      </w:r>
      <w:r>
        <w:rPr>
          <w:color w:val="6E6158"/>
        </w:rPr>
        <w:t>to her regulatory practice as a former commissioner and administrative law judge with the </w:t>
      </w:r>
      <w:r>
        <w:rPr>
          <w:color w:val="6E6158"/>
        </w:rPr>
        <w:t>Nevada</w:t>
      </w:r>
      <w:r>
        <w:rPr>
          <w:color w:val="6E6158"/>
          <w:spacing w:val="40"/>
        </w:rPr>
        <w:t> </w:t>
      </w:r>
      <w:r>
        <w:rPr>
          <w:color w:val="6E6158"/>
        </w:rPr>
        <w:t>Transportation Authority after being appointed by the governor. In that role, she adjudicated</w:t>
      </w:r>
      <w:r>
        <w:rPr>
          <w:color w:val="6E6158"/>
          <w:spacing w:val="40"/>
        </w:rPr>
        <w:t> </w:t>
      </w:r>
      <w:r>
        <w:rPr>
          <w:color w:val="6E6158"/>
        </w:rPr>
        <w:t>contested cases involving certificates of public convenience and necessity, licensing and</w:t>
      </w:r>
      <w:r>
        <w:rPr>
          <w:color w:val="6E6158"/>
          <w:spacing w:val="40"/>
        </w:rPr>
        <w:t> </w:t>
      </w:r>
      <w:r>
        <w:rPr>
          <w:color w:val="6E6158"/>
        </w:rPr>
        <w:t>permitting disputes, tariffs and rates, and safety enforcement actions involving regulated</w:t>
      </w:r>
      <w:r>
        <w:rPr>
          <w:color w:val="6E6158"/>
          <w:spacing w:val="40"/>
        </w:rPr>
        <w:t> </w:t>
      </w:r>
      <w:r>
        <w:rPr>
          <w:color w:val="6E6158"/>
        </w:rPr>
        <w:t>transportation</w:t>
      </w:r>
      <w:r>
        <w:rPr>
          <w:color w:val="6E6158"/>
          <w:spacing w:val="40"/>
        </w:rPr>
        <w:t> </w:t>
      </w:r>
      <w:r>
        <w:rPr>
          <w:color w:val="6E6158"/>
        </w:rPr>
        <w:t>providers.</w:t>
      </w:r>
      <w:r>
        <w:rPr>
          <w:color w:val="6E6158"/>
          <w:spacing w:val="40"/>
        </w:rPr>
        <w:t> </w:t>
      </w:r>
      <w:r>
        <w:rPr>
          <w:color w:val="6E6158"/>
        </w:rPr>
        <w:t>She</w:t>
      </w:r>
      <w:r>
        <w:rPr>
          <w:color w:val="6E6158"/>
          <w:spacing w:val="40"/>
        </w:rPr>
        <w:t> </w:t>
      </w:r>
      <w:r>
        <w:rPr>
          <w:color w:val="6E6158"/>
        </w:rPr>
        <w:t>also</w:t>
      </w:r>
      <w:r>
        <w:rPr>
          <w:color w:val="6E6158"/>
          <w:spacing w:val="40"/>
        </w:rPr>
        <w:t> </w:t>
      </w:r>
      <w:r>
        <w:rPr>
          <w:color w:val="6E6158"/>
        </w:rPr>
        <w:t>completed</w:t>
      </w:r>
      <w:r>
        <w:rPr>
          <w:color w:val="6E6158"/>
          <w:spacing w:val="40"/>
        </w:rPr>
        <w:t> </w:t>
      </w:r>
      <w:r>
        <w:rPr>
          <w:color w:val="6E6158"/>
        </w:rPr>
        <w:t>administrative</w:t>
      </w:r>
      <w:r>
        <w:rPr>
          <w:color w:val="6E6158"/>
          <w:spacing w:val="40"/>
        </w:rPr>
        <w:t> </w:t>
      </w:r>
      <w:r>
        <w:rPr>
          <w:color w:val="6E6158"/>
        </w:rPr>
        <w:t>law</w:t>
      </w:r>
      <w:r>
        <w:rPr>
          <w:color w:val="6E6158"/>
          <w:spacing w:val="40"/>
        </w:rPr>
        <w:t> </w:t>
      </w:r>
      <w:r>
        <w:rPr>
          <w:color w:val="6E6158"/>
        </w:rPr>
        <w:t>adjudication</w:t>
      </w:r>
      <w:r>
        <w:rPr>
          <w:color w:val="6E6158"/>
          <w:spacing w:val="40"/>
        </w:rPr>
        <w:t> </w:t>
      </w:r>
      <w:r>
        <w:rPr>
          <w:color w:val="6E6158"/>
        </w:rPr>
        <w:t>training</w:t>
      </w:r>
      <w:r>
        <w:rPr>
          <w:color w:val="6E6158"/>
          <w:spacing w:val="40"/>
        </w:rPr>
        <w:t> </w:t>
      </w:r>
      <w:r>
        <w:rPr>
          <w:color w:val="6E6158"/>
        </w:rPr>
        <w:t>through the</w:t>
      </w:r>
      <w:r>
        <w:rPr>
          <w:color w:val="6E6158"/>
          <w:spacing w:val="31"/>
        </w:rPr>
        <w:t> </w:t>
      </w:r>
      <w:r>
        <w:rPr>
          <w:color w:val="6E6158"/>
        </w:rPr>
        <w:t>National</w:t>
      </w:r>
      <w:r>
        <w:rPr>
          <w:color w:val="6E6158"/>
          <w:spacing w:val="31"/>
        </w:rPr>
        <w:t> </w:t>
      </w:r>
      <w:r>
        <w:rPr>
          <w:color w:val="6E6158"/>
        </w:rPr>
        <w:t>Judicial</w:t>
      </w:r>
      <w:r>
        <w:rPr>
          <w:color w:val="6E6158"/>
          <w:spacing w:val="31"/>
        </w:rPr>
        <w:t> </w:t>
      </w:r>
      <w:r>
        <w:rPr>
          <w:color w:val="6E6158"/>
        </w:rPr>
        <w:t>College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has</w:t>
      </w:r>
      <w:r>
        <w:rPr>
          <w:color w:val="6E6158"/>
          <w:spacing w:val="31"/>
        </w:rPr>
        <w:t> </w:t>
      </w:r>
      <w:r>
        <w:rPr>
          <w:color w:val="6E6158"/>
        </w:rPr>
        <w:t>served</w:t>
      </w:r>
      <w:r>
        <w:rPr>
          <w:color w:val="6E6158"/>
          <w:spacing w:val="31"/>
        </w:rPr>
        <w:t> </w:t>
      </w:r>
      <w:r>
        <w:rPr>
          <w:color w:val="6E6158"/>
        </w:rPr>
        <w:t>as</w:t>
      </w:r>
      <w:r>
        <w:rPr>
          <w:color w:val="6E6158"/>
          <w:spacing w:val="31"/>
        </w:rPr>
        <w:t> </w:t>
      </w:r>
      <w:r>
        <w:rPr>
          <w:color w:val="6E6158"/>
        </w:rPr>
        <w:t>an</w:t>
      </w:r>
      <w:r>
        <w:rPr>
          <w:color w:val="6E6158"/>
          <w:spacing w:val="31"/>
        </w:rPr>
        <w:t> </w:t>
      </w:r>
      <w:r>
        <w:rPr>
          <w:color w:val="6E6158"/>
        </w:rPr>
        <w:t>American</w:t>
      </w:r>
      <w:r>
        <w:rPr>
          <w:color w:val="6E6158"/>
          <w:spacing w:val="31"/>
        </w:rPr>
        <w:t> </w:t>
      </w:r>
      <w:r>
        <w:rPr>
          <w:color w:val="6E6158"/>
        </w:rPr>
        <w:t>Arbitration</w:t>
      </w:r>
      <w:r>
        <w:rPr>
          <w:color w:val="6E6158"/>
          <w:spacing w:val="31"/>
        </w:rPr>
        <w:t> </w:t>
      </w:r>
      <w:r>
        <w:rPr>
          <w:color w:val="6E6158"/>
        </w:rPr>
        <w:t>Association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pacing w:val="39"/>
          <w:position w:val="7"/>
          <w:sz w:val="16"/>
        </w:rPr>
        <w:t> </w:t>
      </w:r>
      <w:r>
        <w:rPr>
          <w:color w:val="6E6158"/>
        </w:rPr>
        <w:t>Panelist.</w:t>
      </w:r>
    </w:p>
    <w:p>
      <w:pPr>
        <w:pStyle w:val="Heading2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Loyola</w:t>
      </w:r>
      <w:r>
        <w:rPr>
          <w:color w:val="6E6158"/>
          <w:spacing w:val="10"/>
        </w:rPr>
        <w:t> </w:t>
      </w:r>
      <w:r>
        <w:rPr>
          <w:color w:val="6E6158"/>
        </w:rPr>
        <w:t>Law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School</w:t>
      </w:r>
    </w:p>
    <w:p>
      <w:pPr>
        <w:pStyle w:val="BodyText"/>
        <w:spacing w:before="174"/>
        <w:ind w:left="99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Michigan</w:t>
      </w:r>
    </w:p>
    <w:p>
      <w:pPr>
        <w:pStyle w:val="BodyText"/>
        <w:spacing w:line="292" w:lineRule="auto" w:before="174"/>
        <w:ind w:left="99" w:right="315"/>
      </w:pPr>
      <w:r>
        <w:rPr>
          <w:color w:val="6E6158"/>
        </w:rPr>
        <w:t>Certification of Completion, Administrative Law Adjudication Skills, University of Nevada, </w:t>
      </w:r>
      <w:r>
        <w:rPr>
          <w:color w:val="6E6158"/>
        </w:rPr>
        <w:t>Reno,</w:t>
      </w:r>
      <w:r>
        <w:rPr>
          <w:color w:val="6E6158"/>
          <w:spacing w:val="40"/>
        </w:rPr>
        <w:t> </w:t>
      </w:r>
      <w:r>
        <w:rPr>
          <w:color w:val="6E6158"/>
        </w:rPr>
        <w:t>The National Judicial College</w:t>
      </w:r>
    </w:p>
    <w:p>
      <w:pPr>
        <w:pStyle w:val="BodyText"/>
        <w:spacing w:before="124"/>
        <w:ind w:left="99"/>
      </w:pPr>
      <w:r>
        <w:rPr>
          <w:color w:val="6E6158"/>
        </w:rPr>
        <w:t>American</w:t>
      </w:r>
      <w:r>
        <w:rPr>
          <w:color w:val="6E6158"/>
          <w:spacing w:val="19"/>
        </w:rPr>
        <w:t> </w:t>
      </w:r>
      <w:r>
        <w:rPr>
          <w:color w:val="6E6158"/>
        </w:rPr>
        <w:t>Arbitration</w:t>
      </w:r>
      <w:r>
        <w:rPr>
          <w:color w:val="6E6158"/>
          <w:spacing w:val="19"/>
        </w:rPr>
        <w:t> </w:t>
      </w:r>
      <w:r>
        <w:rPr>
          <w:color w:val="6E6158"/>
        </w:rPr>
        <w:t>Association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pacing w:val="27"/>
          <w:position w:val="7"/>
          <w:sz w:val="16"/>
        </w:rPr>
        <w:t> </w:t>
      </w:r>
      <w:r>
        <w:rPr>
          <w:color w:val="6E6158"/>
        </w:rPr>
        <w:t>Arbitrator</w:t>
      </w:r>
      <w:r>
        <w:rPr>
          <w:color w:val="6E6158"/>
          <w:spacing w:val="19"/>
        </w:rPr>
        <w:t> </w:t>
      </w:r>
      <w:r>
        <w:rPr>
          <w:color w:val="6E6158"/>
        </w:rPr>
        <w:t>Panelist</w:t>
      </w:r>
      <w:r>
        <w:rPr>
          <w:color w:val="6E6158"/>
          <w:spacing w:val="19"/>
        </w:rPr>
        <w:t> </w:t>
      </w:r>
      <w:r>
        <w:rPr>
          <w:color w:val="6E6158"/>
          <w:spacing w:val="-2"/>
        </w:rPr>
        <w:t>Training</w:t>
      </w:r>
    </w:p>
    <w:p>
      <w:pPr>
        <w:pStyle w:val="BodyText"/>
        <w:spacing w:before="163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spacing w:after="0"/>
        <w:jc w:val="left"/>
        <w:rPr>
          <w:b/>
          <w:sz w:val="24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1"/>
      </w:pPr>
      <w:r>
        <w:rPr>
          <w:color w:val="6E6158"/>
        </w:rPr>
        <w:t>OTHER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32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Transportation</w:t>
      </w:r>
    </w:p>
    <w:p>
      <w:pPr>
        <w:pStyle w:val="BodyText"/>
        <w:spacing w:before="63"/>
      </w:pPr>
    </w:p>
    <w:p>
      <w:pPr>
        <w:pStyle w:val="BodyText"/>
        <w:spacing w:line="422" w:lineRule="auto"/>
        <w:ind w:left="99" w:right="6815"/>
      </w:pPr>
      <w:r>
        <w:rPr>
          <w:color w:val="6E6158"/>
        </w:rPr>
        <w:t>Business &amp; Finance Gaming &amp; </w:t>
      </w:r>
      <w:r>
        <w:rPr>
          <w:color w:val="6E6158"/>
        </w:rPr>
        <w:t>Hospitality Construction Law</w:t>
      </w:r>
    </w:p>
    <w:p>
      <w:pPr>
        <w:pStyle w:val="Heading2"/>
        <w:spacing w:before="283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292" w:lineRule="auto"/>
        <w:ind w:left="99" w:right="315"/>
      </w:pPr>
      <w:r>
        <w:rPr>
          <w:color w:val="6E6158"/>
        </w:rPr>
        <w:t>Represented gaming operators and restricted-license holders in licensing and </w:t>
      </w:r>
      <w:r>
        <w:rPr>
          <w:color w:val="6E6158"/>
        </w:rPr>
        <w:t>compliance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matters</w:t>
      </w:r>
    </w:p>
    <w:p>
      <w:pPr>
        <w:pStyle w:val="BodyText"/>
        <w:spacing w:line="292" w:lineRule="auto" w:before="132"/>
        <w:ind w:left="99"/>
      </w:pPr>
      <w:r>
        <w:rPr>
          <w:color w:val="6E6158"/>
        </w:rPr>
        <w:t>Represented hospitality and entertainment operators in combined liquor and gaming </w:t>
      </w:r>
      <w:r>
        <w:rPr>
          <w:color w:val="6E6158"/>
        </w:rPr>
        <w:t>licensing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proceedings</w:t>
      </w:r>
    </w:p>
    <w:p>
      <w:pPr>
        <w:pStyle w:val="BodyText"/>
        <w:spacing w:line="292" w:lineRule="auto" w:before="123"/>
        <w:ind w:left="99" w:right="315"/>
      </w:pPr>
      <w:r>
        <w:rPr>
          <w:color w:val="6E6158"/>
        </w:rPr>
        <w:t>Counseled regulated businesses on compliance before the Nevada Gaming Control </w:t>
      </w:r>
      <w:r>
        <w:rPr>
          <w:color w:val="6E6158"/>
        </w:rPr>
        <w:t>Board,</w:t>
      </w:r>
      <w:r>
        <w:rPr>
          <w:color w:val="6E6158"/>
          <w:spacing w:val="40"/>
        </w:rPr>
        <w:t> </w:t>
      </w:r>
      <w:r>
        <w:rPr>
          <w:color w:val="6E6158"/>
        </w:rPr>
        <w:t>Nevada Transportation Authority and Nevada State Contractor’s Board</w:t>
      </w:r>
    </w:p>
    <w:p>
      <w:pPr>
        <w:pStyle w:val="BodyText"/>
        <w:spacing w:line="292" w:lineRule="auto" w:before="131"/>
        <w:ind w:left="99"/>
      </w:pPr>
      <w:r>
        <w:rPr>
          <w:color w:val="6E6158"/>
        </w:rPr>
        <w:t>Represented client leading to a precedent-setting decision expanding first-party bad faith </w:t>
      </w:r>
      <w:r>
        <w:rPr>
          <w:color w:val="6E6158"/>
        </w:rPr>
        <w:t>rights</w:t>
      </w:r>
      <w:r>
        <w:rPr>
          <w:color w:val="6E6158"/>
          <w:spacing w:val="40"/>
        </w:rPr>
        <w:t> </w:t>
      </w:r>
      <w:r>
        <w:rPr>
          <w:color w:val="6E6158"/>
        </w:rPr>
        <w:t>under Nevada insurance law</w:t>
      </w:r>
    </w:p>
    <w:p>
      <w:pPr>
        <w:pStyle w:val="BodyText"/>
        <w:spacing w:before="112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7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color w:val="6E6158"/>
          <w:sz w:val="19"/>
        </w:rPr>
        <w:t>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Gaming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4"/>
          <w:sz w:val="19"/>
        </w:rPr>
        <w:t> </w:t>
      </w:r>
      <w:r>
        <w:rPr>
          <w:color w:val="6E6158"/>
          <w:sz w:val="19"/>
        </w:rPr>
        <w:t>2025-</w:t>
      </w:r>
      <w:r>
        <w:rPr>
          <w:color w:val="6E6158"/>
          <w:spacing w:val="-4"/>
          <w:sz w:val="19"/>
        </w:rPr>
        <w:t>2027</w:t>
      </w:r>
    </w:p>
    <w:p>
      <w:pPr>
        <w:pStyle w:val="BodyText"/>
        <w:spacing w:before="180"/>
        <w:ind w:left="99"/>
      </w:pPr>
      <w:r>
        <w:rPr>
          <w:color w:val="6E6158"/>
        </w:rPr>
        <w:t>Super</w:t>
      </w:r>
      <w:r>
        <w:rPr>
          <w:color w:val="6E6158"/>
          <w:spacing w:val="17"/>
        </w:rPr>
        <w:t> </w:t>
      </w:r>
      <w:r>
        <w:rPr>
          <w:color w:val="6E6158"/>
        </w:rPr>
        <w:t>Lawyers®</w:t>
      </w:r>
      <w:r>
        <w:rPr>
          <w:color w:val="6E6158"/>
          <w:spacing w:val="18"/>
        </w:rPr>
        <w:t> </w:t>
      </w:r>
      <w:r>
        <w:rPr>
          <w:color w:val="6E6158"/>
        </w:rPr>
        <w:t>Mountain</w:t>
      </w:r>
      <w:r>
        <w:rPr>
          <w:color w:val="6E6158"/>
          <w:spacing w:val="17"/>
        </w:rPr>
        <w:t> </w:t>
      </w:r>
      <w:r>
        <w:rPr>
          <w:color w:val="6E6158"/>
        </w:rPr>
        <w:t>States,</w:t>
      </w:r>
      <w:r>
        <w:rPr>
          <w:color w:val="6E6158"/>
          <w:spacing w:val="18"/>
        </w:rPr>
        <w:t> </w:t>
      </w:r>
      <w:r>
        <w:rPr>
          <w:color w:val="6E6158"/>
        </w:rPr>
        <w:t>Business</w:t>
      </w:r>
      <w:r>
        <w:rPr>
          <w:color w:val="6E6158"/>
          <w:spacing w:val="17"/>
        </w:rPr>
        <w:t> </w:t>
      </w:r>
      <w:r>
        <w:rPr>
          <w:color w:val="6E6158"/>
        </w:rPr>
        <w:t>Litigation,</w:t>
      </w:r>
      <w:r>
        <w:rPr>
          <w:color w:val="6E6158"/>
          <w:spacing w:val="18"/>
        </w:rPr>
        <w:t> </w:t>
      </w:r>
      <w:r>
        <w:rPr>
          <w:color w:val="6E6158"/>
        </w:rPr>
        <w:t>2025-</w:t>
      </w:r>
      <w:r>
        <w:rPr>
          <w:color w:val="6E6158"/>
          <w:spacing w:val="-4"/>
        </w:rPr>
        <w:t>2026</w:t>
      </w:r>
    </w:p>
    <w:p>
      <w:pPr>
        <w:pStyle w:val="BodyText"/>
        <w:spacing w:line="420" w:lineRule="auto" w:before="174"/>
        <w:ind w:left="99" w:right="1673"/>
      </w:pPr>
      <w:r>
        <w:rPr>
          <w:color w:val="6E6158"/>
        </w:rPr>
        <w:t>Super Lawyers® Mountain States, Rising Stars, Business Litigation, 2012-</w:t>
      </w:r>
      <w:r>
        <w:rPr>
          <w:color w:val="6E6158"/>
        </w:rPr>
        <w:t>2016 “Women in Law 2017 Award” in Gaming Law, Lawyer Monthly, 2017</w:t>
      </w:r>
    </w:p>
    <w:p>
      <w:pPr>
        <w:pStyle w:val="BodyText"/>
        <w:spacing w:line="302" w:lineRule="auto"/>
        <w:ind w:left="99" w:right="99"/>
      </w:pPr>
      <w:r>
        <w:rPr>
          <w:color w:val="6E6158"/>
        </w:rPr>
        <w:t>“Legal Elite: Top Attorneys in Nevada,” Administrative, Regulatory &amp; Gaming Law, Litigation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Real Estate &amp; Construction, Nevada Business Magazine, 2013, 2014</w:t>
      </w:r>
    </w:p>
    <w:p>
      <w:pPr>
        <w:pStyle w:val="BodyText"/>
        <w:spacing w:before="111"/>
        <w:ind w:left="99"/>
      </w:pPr>
      <w:r>
        <w:rPr>
          <w:color w:val="6E6158"/>
        </w:rPr>
        <w:t>Top</w:t>
      </w:r>
      <w:r>
        <w:rPr>
          <w:color w:val="6E6158"/>
          <w:spacing w:val="11"/>
        </w:rPr>
        <w:t> </w:t>
      </w:r>
      <w:r>
        <w:rPr>
          <w:color w:val="6E6158"/>
        </w:rPr>
        <w:t>“20</w:t>
      </w:r>
      <w:r>
        <w:rPr>
          <w:color w:val="6E6158"/>
          <w:spacing w:val="12"/>
        </w:rPr>
        <w:t> </w:t>
      </w:r>
      <w:r>
        <w:rPr>
          <w:color w:val="6E6158"/>
        </w:rPr>
        <w:t>under</w:t>
      </w:r>
      <w:r>
        <w:rPr>
          <w:color w:val="6E6158"/>
          <w:spacing w:val="11"/>
        </w:rPr>
        <w:t> </w:t>
      </w:r>
      <w:r>
        <w:rPr>
          <w:color w:val="6E6158"/>
        </w:rPr>
        <w:t>40”</w:t>
      </w:r>
      <w:r>
        <w:rPr>
          <w:color w:val="6E6158"/>
          <w:spacing w:val="12"/>
        </w:rPr>
        <w:t> </w:t>
      </w:r>
      <w:r>
        <w:rPr>
          <w:color w:val="6E6158"/>
        </w:rPr>
        <w:t>Professionals</w:t>
      </w:r>
      <w:r>
        <w:rPr>
          <w:color w:val="6E6158"/>
          <w:spacing w:val="11"/>
        </w:rPr>
        <w:t> </w:t>
      </w:r>
      <w:r>
        <w:rPr>
          <w:color w:val="6E6158"/>
        </w:rPr>
        <w:t>Award,</w:t>
      </w:r>
      <w:r>
        <w:rPr>
          <w:color w:val="6E6158"/>
          <w:spacing w:val="12"/>
        </w:rPr>
        <w:t> </w:t>
      </w:r>
      <w:r>
        <w:rPr>
          <w:color w:val="6E6158"/>
        </w:rPr>
        <w:t>Reno-Gazette</w:t>
      </w:r>
      <w:r>
        <w:rPr>
          <w:color w:val="6E6158"/>
          <w:spacing w:val="11"/>
        </w:rPr>
        <w:t> </w:t>
      </w:r>
      <w:r>
        <w:rPr>
          <w:color w:val="6E6158"/>
        </w:rPr>
        <w:t>Journal,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2011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“Emerging</w:t>
      </w:r>
      <w:r>
        <w:rPr>
          <w:color w:val="6E6158"/>
          <w:spacing w:val="12"/>
        </w:rPr>
        <w:t> </w:t>
      </w:r>
      <w:r>
        <w:rPr>
          <w:color w:val="6E6158"/>
        </w:rPr>
        <w:t>Fraud</w:t>
      </w:r>
      <w:r>
        <w:rPr>
          <w:color w:val="6E6158"/>
          <w:spacing w:val="12"/>
        </w:rPr>
        <w:t> </w:t>
      </w:r>
      <w:r>
        <w:rPr>
          <w:color w:val="6E6158"/>
        </w:rPr>
        <w:t>Risks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Cannabis</w:t>
      </w:r>
      <w:r>
        <w:rPr>
          <w:color w:val="6E6158"/>
          <w:spacing w:val="12"/>
        </w:rPr>
        <w:t> </w:t>
      </w:r>
      <w:r>
        <w:rPr>
          <w:color w:val="6E6158"/>
        </w:rPr>
        <w:t>Industry:</w:t>
      </w:r>
      <w:r>
        <w:rPr>
          <w:color w:val="6E6158"/>
          <w:spacing w:val="11"/>
        </w:rPr>
        <w:t> </w:t>
      </w:r>
      <w:r>
        <w:rPr>
          <w:color w:val="6E6158"/>
        </w:rPr>
        <w:t>Cannabis</w:t>
      </w:r>
      <w:r>
        <w:rPr>
          <w:color w:val="6E6158"/>
          <w:spacing w:val="12"/>
        </w:rPr>
        <w:t> </w:t>
      </w:r>
      <w:r>
        <w:rPr>
          <w:color w:val="6E6158"/>
        </w:rPr>
        <w:t>Industry</w:t>
      </w:r>
      <w:r>
        <w:rPr>
          <w:color w:val="6E6158"/>
          <w:spacing w:val="12"/>
        </w:rPr>
        <w:t> </w:t>
      </w:r>
      <w:r>
        <w:rPr>
          <w:color w:val="6E6158"/>
        </w:rPr>
        <w:t>Fraud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Trends,</w:t>
      </w:r>
    </w:p>
    <w:p>
      <w:pPr>
        <w:pStyle w:val="BodyText"/>
        <w:spacing w:line="292" w:lineRule="auto" w:before="60"/>
        <w:ind w:left="99"/>
      </w:pPr>
      <w:r>
        <w:rPr>
          <w:color w:val="6E6158"/>
        </w:rPr>
        <w:t>Insights, and Emerging Risks to Fraud Investigation Professionals,” Association of Certified </w:t>
      </w:r>
      <w:r>
        <w:rPr>
          <w:color w:val="6E6158"/>
        </w:rPr>
        <w:t>Fraud</w:t>
      </w:r>
      <w:r>
        <w:rPr>
          <w:color w:val="6E6158"/>
          <w:spacing w:val="40"/>
        </w:rPr>
        <w:t> </w:t>
      </w:r>
      <w:r>
        <w:rPr>
          <w:color w:val="6E6158"/>
        </w:rPr>
        <w:t>Examiners (ACFE)</w:t>
      </w:r>
    </w:p>
    <w:p>
      <w:pPr>
        <w:pStyle w:val="BodyText"/>
        <w:spacing w:before="113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/>
        <w:ind w:left="99" w:right="2630"/>
      </w:pPr>
      <w:r>
        <w:rPr>
          <w:color w:val="6E6158"/>
        </w:rPr>
        <w:t>Member, Administrative Law Section, American Bar Association Member, State Bar of Nevada, Gaming Law Section, Litigation </w:t>
      </w:r>
      <w:r>
        <w:rPr>
          <w:color w:val="6E6158"/>
        </w:rPr>
        <w:t>Section</w:t>
      </w:r>
    </w:p>
    <w:p>
      <w:pPr>
        <w:pStyle w:val="Heading2"/>
        <w:spacing w:before="29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Nevada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Heading2"/>
        <w:spacing w:before="83"/>
      </w:pPr>
      <w:r>
        <w:rPr>
          <w:color w:val="FF8100"/>
          <w:spacing w:val="-2"/>
        </w:rPr>
        <w:t>LANGUAGES</w:t>
      </w:r>
    </w:p>
    <w:p>
      <w:pPr>
        <w:pStyle w:val="BodyText"/>
        <w:spacing w:before="261"/>
        <w:ind w:left="99"/>
      </w:pPr>
      <w:r>
        <w:rPr>
          <w:color w:val="6E6158"/>
          <w:spacing w:val="-2"/>
        </w:rPr>
        <w:t>Spanish</w:t>
      </w:r>
    </w:p>
    <w:sectPr>
      <w:pgSz w:w="12240" w:h="15840"/>
      <w:pgMar w:top="5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9"/>
      <w:ind w:left="99"/>
      <w:outlineLvl w:val="1"/>
    </w:pPr>
    <w:rPr>
      <w:rFonts w:ascii="Century Gothic" w:hAnsi="Century Gothic" w:eastAsia="Century Gothic" w:cs="Century Gothic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mailto:lmill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Lesley B. Miller - Fennemore</dc:title>
  <dcterms:created xsi:type="dcterms:W3CDTF">2026-08-26T21:28:25Z</dcterms:created>
  <dcterms:modified xsi:type="dcterms:W3CDTF">2026-08-26T21:28:25Z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2026-08-26T00:00:00Z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2026-08-26T00:00:00Z</vt:filetime>
  </property>
  <property fmtid="{D5CDD505-2E9C-101B-9397-08002B2CF9AE}" pid="6" name="Producer">
    <vt:lpwstr>Skia/PDF m151</vt:lpwstr>
  </property>
</Properties>
</file>