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236"/>
        <w:rPr>
          <w:rFonts w:ascii="Times New Roman"/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-2956956</wp:posOffset>
                </wp:positionV>
                <wp:extent cx="6071870" cy="28886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Mark Nesvi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560267" y="1369338"/>
                            <a:ext cx="198437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320675">
                                <a:moveTo>
                                  <a:pt x="1984248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984248" y="320382"/>
                                </a:lnTo>
                                <a:lnTo>
                                  <a:pt x="1984248" y="315214"/>
                                </a:lnTo>
                                <a:close/>
                              </a:path>
                              <a:path w="1984375" h="320675">
                                <a:moveTo>
                                  <a:pt x="19842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984248" y="5168"/>
                                </a:lnTo>
                                <a:lnTo>
                                  <a:pt x="19842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561408" y="763308"/>
                            <a:ext cx="1997710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MARK A.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NESVIG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Counsel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Real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Estate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357416" y="1859626"/>
                            <a:ext cx="40513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615826" y="2019783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602.916.5472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17271" y="2019783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602.916.5672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05160" y="2226505"/>
                            <a:ext cx="151003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mnesvig@fennemorelaw.com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32.831253pt;width:478.1pt;height:227.45pt;mso-position-horizontal-relative:page;mso-position-vertical-relative:paragraph;z-index:15728640" id="docshapegroup1" coordorigin="1336,-4657" coordsize="9562,4549">
                <v:shape style="position:absolute;left:1336;top:-4657;width:2165;height:424" type="#_x0000_t75" id="docshape2" alt="Fennemore" href="https://www.fennemorelaw.com/" stroked="false">
                  <v:imagedata r:id="rId5" o:title=""/>
                </v:shape>
                <v:shape style="position:absolute;left:1336;top:-4234;width:4785;height:4126" type="#_x0000_t75" id="docshape3" alt="Mark Nesvig" stroked="false">
                  <v:imagedata r:id="rId7" o:title=""/>
                </v:shape>
                <v:rect style="position:absolute;left:6121;top:-4234;width:4777;height:4126" id="docshape4" filled="true" fillcolor="#262424" stroked="false">
                  <v:fill type="solid"/>
                </v:rect>
                <v:shape style="position:absolute;left:6942;top:-2501;width:3125;height:505" id="docshape5" coordorigin="6943,-2500" coordsize="3125,505" path="m10068,-2004l6943,-2004,6943,-1996,10068,-1996,10068,-2004xm10068,-2500l6943,-2500,6943,-2492,10068,-2492,10068,-2500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944;top:-3455;width:3146;height:1300" type="#_x0000_t202" id="docshape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MARK A.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NESVIG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Counsel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Real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Estate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98;top:-1729;width:638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030;top:-1476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602.916.5472</w:t>
                        </w:r>
                      </w:p>
                    </w:txbxContent>
                  </v:textbox>
                  <w10:wrap type="none"/>
                </v:shape>
                <v:shape style="position:absolute;left:8764;top:-1476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602.916.5672</w:t>
                        </w:r>
                      </w:p>
                    </w:txbxContent>
                  </v:textbox>
                  <w10:wrap type="none"/>
                </v:shape>
                <v:shape style="position:absolute;left:7328;top:-1151;width:2378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mnesvig@fennemorelaw.com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002E6B"/>
          <w:sz w:val="24"/>
        </w:rPr>
        <w:t>MARK</w:t>
      </w:r>
      <w:r>
        <w:rPr>
          <w:b/>
          <w:color w:val="002E6B"/>
          <w:spacing w:val="5"/>
          <w:sz w:val="24"/>
        </w:rPr>
        <w:t> </w:t>
      </w:r>
      <w:r>
        <w:rPr>
          <w:b/>
          <w:color w:val="002E6B"/>
          <w:sz w:val="24"/>
        </w:rPr>
        <w:t>A.</w:t>
      </w:r>
      <w:r>
        <w:rPr>
          <w:b/>
          <w:color w:val="002E6B"/>
          <w:spacing w:val="6"/>
          <w:sz w:val="24"/>
        </w:rPr>
        <w:t> </w:t>
      </w:r>
      <w:r>
        <w:rPr>
          <w:b/>
          <w:color w:val="002E6B"/>
          <w:spacing w:val="-2"/>
          <w:sz w:val="24"/>
        </w:rPr>
        <w:t>NESVIG</w:t>
      </w:r>
    </w:p>
    <w:p>
      <w:pPr>
        <w:pStyle w:val="BodyText"/>
        <w:spacing w:before="147"/>
        <w:ind w:left="99"/>
      </w:pPr>
      <w:r>
        <w:rPr>
          <w:color w:val="6E6158"/>
        </w:rPr>
        <w:t>Mark</w:t>
      </w:r>
      <w:r>
        <w:rPr>
          <w:color w:val="6E6158"/>
          <w:spacing w:val="11"/>
        </w:rPr>
        <w:t> </w:t>
      </w:r>
      <w:r>
        <w:rPr>
          <w:color w:val="6E6158"/>
        </w:rPr>
        <w:t>practices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areas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real</w:t>
      </w:r>
      <w:r>
        <w:rPr>
          <w:color w:val="6E6158"/>
          <w:spacing w:val="11"/>
        </w:rPr>
        <w:t> </w:t>
      </w:r>
      <w:r>
        <w:rPr>
          <w:color w:val="6E6158"/>
        </w:rPr>
        <w:t>estate</w:t>
      </w:r>
      <w:r>
        <w:rPr>
          <w:color w:val="6E6158"/>
          <w:spacing w:val="11"/>
        </w:rPr>
        <w:t> </w:t>
      </w:r>
      <w:r>
        <w:rPr>
          <w:color w:val="6E6158"/>
        </w:rPr>
        <w:t>transactions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financing.</w:t>
      </w:r>
      <w:r>
        <w:rPr>
          <w:color w:val="6E6158"/>
          <w:spacing w:val="12"/>
        </w:rPr>
        <w:t> </w:t>
      </w:r>
      <w:r>
        <w:rPr>
          <w:color w:val="6E6158"/>
        </w:rPr>
        <w:t>His</w:t>
      </w:r>
      <w:r>
        <w:rPr>
          <w:color w:val="6E6158"/>
          <w:spacing w:val="11"/>
        </w:rPr>
        <w:t> </w:t>
      </w:r>
      <w:r>
        <w:rPr>
          <w:color w:val="6E6158"/>
        </w:rPr>
        <w:t>work</w:t>
      </w:r>
      <w:r>
        <w:rPr>
          <w:color w:val="6E6158"/>
          <w:spacing w:val="11"/>
        </w:rPr>
        <w:t> </w:t>
      </w:r>
      <w:r>
        <w:rPr>
          <w:color w:val="6E6158"/>
        </w:rPr>
        <w:t>includes</w:t>
      </w:r>
      <w:r>
        <w:rPr>
          <w:color w:val="6E6158"/>
          <w:spacing w:val="11"/>
        </w:rPr>
        <w:t> </w:t>
      </w:r>
      <w:r>
        <w:rPr>
          <w:color w:val="6E6158"/>
          <w:spacing w:val="-5"/>
        </w:rPr>
        <w:t>the</w:t>
      </w:r>
    </w:p>
    <w:p>
      <w:pPr>
        <w:pStyle w:val="BodyText"/>
        <w:spacing w:line="292" w:lineRule="auto" w:before="60"/>
        <w:ind w:left="99" w:right="330"/>
      </w:pPr>
      <w:r>
        <w:rPr>
          <w:color w:val="6E6158"/>
        </w:rPr>
        <w:t>acquisition, development, financing, leasing, operation and sale of a broad range of </w:t>
      </w:r>
      <w:r>
        <w:rPr>
          <w:color w:val="6E6158"/>
        </w:rPr>
        <w:t>properties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projects,</w:t>
      </w:r>
      <w:r>
        <w:rPr>
          <w:color w:val="6E6158"/>
          <w:spacing w:val="38"/>
        </w:rPr>
        <w:t> </w:t>
      </w:r>
      <w:r>
        <w:rPr>
          <w:color w:val="6E6158"/>
        </w:rPr>
        <w:t>including</w:t>
      </w:r>
      <w:r>
        <w:rPr>
          <w:color w:val="6E6158"/>
          <w:spacing w:val="38"/>
        </w:rPr>
        <w:t> </w:t>
      </w:r>
      <w:r>
        <w:rPr>
          <w:color w:val="6E6158"/>
        </w:rPr>
        <w:t>planned</w:t>
      </w:r>
      <w:r>
        <w:rPr>
          <w:color w:val="6E6158"/>
          <w:spacing w:val="38"/>
        </w:rPr>
        <w:t> </w:t>
      </w:r>
      <w:r>
        <w:rPr>
          <w:color w:val="6E6158"/>
        </w:rPr>
        <w:t>communities,</w:t>
      </w:r>
      <w:r>
        <w:rPr>
          <w:color w:val="6E6158"/>
          <w:spacing w:val="38"/>
        </w:rPr>
        <w:t> </w:t>
      </w:r>
      <w:r>
        <w:rPr>
          <w:color w:val="6E6158"/>
        </w:rPr>
        <w:t>office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industrial</w:t>
      </w:r>
      <w:r>
        <w:rPr>
          <w:color w:val="6E6158"/>
          <w:spacing w:val="38"/>
        </w:rPr>
        <w:t> </w:t>
      </w:r>
      <w:r>
        <w:rPr>
          <w:color w:val="6E6158"/>
        </w:rPr>
        <w:t>projects,</w:t>
      </w:r>
      <w:r>
        <w:rPr>
          <w:color w:val="6E6158"/>
          <w:spacing w:val="38"/>
        </w:rPr>
        <w:t> </w:t>
      </w:r>
      <w:r>
        <w:rPr>
          <w:color w:val="6E6158"/>
        </w:rPr>
        <w:t>apartments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</w:p>
    <w:p>
      <w:pPr>
        <w:pStyle w:val="BodyText"/>
        <w:spacing w:line="302" w:lineRule="auto" w:before="1"/>
        <w:ind w:left="99" w:right="384"/>
      </w:pPr>
      <w:r>
        <w:rPr>
          <w:color w:val="6E6158"/>
        </w:rPr>
        <w:t>condominiums. He also represents a wide variety of developers, investors and </w:t>
      </w:r>
      <w:r>
        <w:rPr>
          <w:color w:val="6E6158"/>
        </w:rPr>
        <w:t>financial </w:t>
      </w:r>
      <w:r>
        <w:rPr>
          <w:color w:val="6E6158"/>
          <w:spacing w:val="-2"/>
        </w:rPr>
        <w:t>institutions.</w:t>
      </w:r>
    </w:p>
    <w:p>
      <w:pPr>
        <w:pStyle w:val="BodyText"/>
        <w:spacing w:line="292" w:lineRule="auto" w:before="186"/>
        <w:ind w:left="99" w:right="384"/>
      </w:pPr>
      <w:r>
        <w:rPr>
          <w:color w:val="6E6158"/>
        </w:rPr>
        <w:t>Mark chose a career in law because he enjoys helping people and working on complex</w:t>
      </w:r>
      <w:r>
        <w:rPr>
          <w:color w:val="6E6158"/>
          <w:spacing w:val="40"/>
        </w:rPr>
        <w:t> </w:t>
      </w:r>
      <w:r>
        <w:rPr>
          <w:color w:val="6E6158"/>
        </w:rPr>
        <w:t>projects.</w:t>
      </w:r>
      <w:r>
        <w:rPr>
          <w:color w:val="6E6158"/>
          <w:spacing w:val="13"/>
        </w:rPr>
        <w:t> </w:t>
      </w:r>
      <w:r>
        <w:rPr>
          <w:color w:val="6E6158"/>
        </w:rPr>
        <w:t>With</w:t>
      </w:r>
      <w:r>
        <w:rPr>
          <w:color w:val="6E6158"/>
          <w:spacing w:val="13"/>
        </w:rPr>
        <w:t> </w:t>
      </w:r>
      <w:r>
        <w:rPr>
          <w:color w:val="6E6158"/>
        </w:rPr>
        <w:t>his</w:t>
      </w:r>
      <w:r>
        <w:rPr>
          <w:color w:val="6E6158"/>
          <w:spacing w:val="13"/>
        </w:rPr>
        <w:t> </w:t>
      </w:r>
      <w:r>
        <w:rPr>
          <w:color w:val="6E6158"/>
        </w:rPr>
        <w:t>work</w:t>
      </w:r>
      <w:r>
        <w:rPr>
          <w:color w:val="6E6158"/>
          <w:spacing w:val="13"/>
        </w:rPr>
        <w:t> </w:t>
      </w:r>
      <w:r>
        <w:rPr>
          <w:color w:val="6E6158"/>
        </w:rPr>
        <w:t>today,</w:t>
      </w:r>
      <w:r>
        <w:rPr>
          <w:color w:val="6E6158"/>
          <w:spacing w:val="13"/>
        </w:rPr>
        <w:t> </w:t>
      </w:r>
      <w:r>
        <w:rPr>
          <w:color w:val="6E6158"/>
        </w:rPr>
        <w:t>he</w:t>
      </w:r>
      <w:r>
        <w:rPr>
          <w:color w:val="6E6158"/>
          <w:spacing w:val="13"/>
        </w:rPr>
        <w:t> </w:t>
      </w:r>
      <w:r>
        <w:rPr>
          <w:color w:val="6E6158"/>
        </w:rPr>
        <w:t>is</w:t>
      </w:r>
      <w:r>
        <w:rPr>
          <w:color w:val="6E6158"/>
          <w:spacing w:val="13"/>
        </w:rPr>
        <w:t> </w:t>
      </w:r>
      <w:r>
        <w:rPr>
          <w:color w:val="6E6158"/>
        </w:rPr>
        <w:t>able</w:t>
      </w:r>
      <w:r>
        <w:rPr>
          <w:color w:val="6E6158"/>
          <w:spacing w:val="13"/>
        </w:rPr>
        <w:t> </w:t>
      </w:r>
      <w:r>
        <w:rPr>
          <w:color w:val="6E6158"/>
        </w:rPr>
        <w:t>to</w:t>
      </w:r>
      <w:r>
        <w:rPr>
          <w:color w:val="6E6158"/>
          <w:spacing w:val="13"/>
        </w:rPr>
        <w:t> </w:t>
      </w:r>
      <w:r>
        <w:rPr>
          <w:color w:val="6E6158"/>
        </w:rPr>
        <w:t>see</w:t>
      </w:r>
      <w:r>
        <w:rPr>
          <w:color w:val="6E6158"/>
          <w:spacing w:val="13"/>
        </w:rPr>
        <w:t> </w:t>
      </w:r>
      <w:r>
        <w:rPr>
          <w:color w:val="6E6158"/>
        </w:rPr>
        <w:t>projects</w:t>
      </w:r>
      <w:r>
        <w:rPr>
          <w:color w:val="6E6158"/>
          <w:spacing w:val="13"/>
        </w:rPr>
        <w:t> </w:t>
      </w:r>
      <w:r>
        <w:rPr>
          <w:color w:val="6E6158"/>
        </w:rPr>
        <w:t>move</w:t>
      </w:r>
      <w:r>
        <w:rPr>
          <w:color w:val="6E6158"/>
          <w:spacing w:val="13"/>
        </w:rPr>
        <w:t> </w:t>
      </w:r>
      <w:r>
        <w:rPr>
          <w:color w:val="6E6158"/>
        </w:rPr>
        <w:t>from</w:t>
      </w:r>
      <w:r>
        <w:rPr>
          <w:color w:val="6E6158"/>
          <w:spacing w:val="13"/>
        </w:rPr>
        <w:t> </w:t>
      </w:r>
      <w:r>
        <w:rPr>
          <w:color w:val="6E6158"/>
        </w:rPr>
        <w:t>inception</w:t>
      </w:r>
      <w:r>
        <w:rPr>
          <w:color w:val="6E6158"/>
          <w:spacing w:val="13"/>
        </w:rPr>
        <w:t> </w:t>
      </w:r>
      <w:r>
        <w:rPr>
          <w:color w:val="6E6158"/>
        </w:rPr>
        <w:t>to</w:t>
      </w:r>
      <w:r>
        <w:rPr>
          <w:color w:val="6E6158"/>
          <w:spacing w:val="13"/>
        </w:rPr>
        <w:t> </w:t>
      </w:r>
      <w:r>
        <w:rPr>
          <w:color w:val="6E6158"/>
        </w:rPr>
        <w:t>completion.</w:t>
      </w:r>
    </w:p>
    <w:p>
      <w:pPr>
        <w:pStyle w:val="BodyText"/>
        <w:spacing w:before="197"/>
        <w:ind w:left="99"/>
      </w:pPr>
      <w:r>
        <w:rPr>
          <w:color w:val="6E6158"/>
        </w:rPr>
        <w:t>Away</w:t>
      </w:r>
      <w:r>
        <w:rPr>
          <w:color w:val="6E6158"/>
          <w:spacing w:val="10"/>
        </w:rPr>
        <w:t> </w:t>
      </w:r>
      <w:r>
        <w:rPr>
          <w:color w:val="6E6158"/>
        </w:rPr>
        <w:t>from</w:t>
      </w:r>
      <w:r>
        <w:rPr>
          <w:color w:val="6E6158"/>
          <w:spacing w:val="10"/>
        </w:rPr>
        <w:t> </w:t>
      </w:r>
      <w:r>
        <w:rPr>
          <w:color w:val="6E6158"/>
        </w:rPr>
        <w:t>work,</w:t>
      </w:r>
      <w:r>
        <w:rPr>
          <w:color w:val="6E6158"/>
          <w:spacing w:val="10"/>
        </w:rPr>
        <w:t> </w:t>
      </w:r>
      <w:r>
        <w:rPr>
          <w:color w:val="6E6158"/>
        </w:rPr>
        <w:t>Mark</w:t>
      </w:r>
      <w:r>
        <w:rPr>
          <w:color w:val="6E6158"/>
          <w:spacing w:val="11"/>
        </w:rPr>
        <w:t> </w:t>
      </w:r>
      <w:r>
        <w:rPr>
          <w:color w:val="6E6158"/>
        </w:rPr>
        <w:t>enjoys</w:t>
      </w:r>
      <w:r>
        <w:rPr>
          <w:color w:val="6E6158"/>
          <w:spacing w:val="10"/>
        </w:rPr>
        <w:t> </w:t>
      </w:r>
      <w:r>
        <w:rPr>
          <w:color w:val="6E6158"/>
        </w:rPr>
        <w:t>golfing,</w:t>
      </w:r>
      <w:r>
        <w:rPr>
          <w:color w:val="6E6158"/>
          <w:spacing w:val="10"/>
        </w:rPr>
        <w:t> </w:t>
      </w:r>
      <w:r>
        <w:rPr>
          <w:color w:val="6E6158"/>
        </w:rPr>
        <w:t>reading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spending</w:t>
      </w:r>
      <w:r>
        <w:rPr>
          <w:color w:val="6E6158"/>
          <w:spacing w:val="10"/>
        </w:rPr>
        <w:t> </w:t>
      </w:r>
      <w:r>
        <w:rPr>
          <w:color w:val="6E6158"/>
        </w:rPr>
        <w:t>time</w:t>
      </w:r>
      <w:r>
        <w:rPr>
          <w:color w:val="6E6158"/>
          <w:spacing w:val="11"/>
        </w:rPr>
        <w:t> </w:t>
      </w:r>
      <w:r>
        <w:rPr>
          <w:color w:val="6E6158"/>
        </w:rPr>
        <w:t>with</w:t>
      </w:r>
      <w:r>
        <w:rPr>
          <w:color w:val="6E6158"/>
          <w:spacing w:val="10"/>
        </w:rPr>
        <w:t> </w:t>
      </w:r>
      <w:r>
        <w:rPr>
          <w:color w:val="6E6158"/>
        </w:rPr>
        <w:t>family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friends.</w:t>
      </w:r>
    </w:p>
    <w:p>
      <w:pPr>
        <w:pStyle w:val="Heading2"/>
        <w:spacing w:before="221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08" w:lineRule="auto"/>
        <w:ind w:left="99" w:right="1671"/>
      </w:pPr>
      <w:r>
        <w:rPr>
          <w:color w:val="6E6158"/>
        </w:rPr>
        <w:t>J.D., with high distinction, University of Arizona, James E. Rogers College of </w:t>
      </w:r>
      <w:r>
        <w:rPr>
          <w:color w:val="6E6158"/>
        </w:rPr>
        <w:t>Law</w:t>
      </w:r>
      <w:r>
        <w:rPr>
          <w:color w:val="6E6158"/>
        </w:rPr>
        <w:t> B.A., </w:t>
      </w:r>
      <w:r>
        <w:rPr>
          <w:i/>
          <w:color w:val="6E6158"/>
          <w:sz w:val="20"/>
        </w:rPr>
        <w:t>cum laude</w:t>
      </w:r>
      <w:r>
        <w:rPr>
          <w:color w:val="6E6158"/>
        </w:rPr>
        <w:t>, Pacific Lutheran University</w:t>
      </w:r>
    </w:p>
    <w:p>
      <w:pPr>
        <w:spacing w:before="284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line="528" w:lineRule="exact" w:before="53"/>
        <w:ind w:left="99" w:right="5846"/>
      </w:pPr>
      <w:r>
        <w:rPr>
          <w:color w:val="6E6158"/>
        </w:rPr>
        <w:t>Real Estate Finance and </w:t>
      </w:r>
      <w:r>
        <w:rPr>
          <w:color w:val="6E6158"/>
        </w:rPr>
        <w:t>Lending Real Estate</w:t>
      </w:r>
    </w:p>
    <w:p>
      <w:pPr>
        <w:pStyle w:val="BodyText"/>
        <w:spacing w:before="111"/>
        <w:ind w:left="99"/>
      </w:pPr>
      <w:r>
        <w:rPr>
          <w:color w:val="6E6158"/>
        </w:rPr>
        <w:t>Business</w:t>
      </w:r>
      <w:r>
        <w:rPr>
          <w:color w:val="6E6158"/>
          <w:spacing w:val="9"/>
        </w:rPr>
        <w:t> </w:t>
      </w:r>
      <w:r>
        <w:rPr>
          <w:color w:val="6E6158"/>
        </w:rPr>
        <w:t>&amp;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Finance</w:t>
      </w:r>
    </w:p>
    <w:p>
      <w:pPr>
        <w:pStyle w:val="BodyText"/>
        <w:spacing w:before="171"/>
        <w:rPr>
          <w:sz w:val="24"/>
        </w:rPr>
      </w:pPr>
    </w:p>
    <w:p>
      <w:pPr>
        <w:pStyle w:val="Heading2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CASES</w:t>
      </w:r>
    </w:p>
    <w:p>
      <w:pPr>
        <w:pStyle w:val="BodyText"/>
        <w:rPr>
          <w:b/>
        </w:rPr>
      </w:pPr>
    </w:p>
    <w:p>
      <w:pPr>
        <w:pStyle w:val="BodyText"/>
        <w:spacing w:before="161"/>
        <w:rPr>
          <w:b/>
        </w:rPr>
      </w:pPr>
    </w:p>
    <w:p>
      <w:pPr>
        <w:pStyle w:val="BodyText"/>
        <w:spacing w:line="292" w:lineRule="auto"/>
        <w:ind w:left="99"/>
      </w:pPr>
      <w:r>
        <w:rPr>
          <w:color w:val="6E6158"/>
        </w:rPr>
        <w:t>Represented institutional investor in the operation and sale of approximately 628,000 square-</w:t>
      </w:r>
      <w:r>
        <w:rPr>
          <w:color w:val="6E6158"/>
        </w:rPr>
        <w:t>foot</w:t>
      </w:r>
      <w:r>
        <w:rPr>
          <w:color w:val="6E6158"/>
          <w:spacing w:val="40"/>
        </w:rPr>
        <w:t> </w:t>
      </w:r>
      <w:r>
        <w:rPr>
          <w:color w:val="6E6158"/>
        </w:rPr>
        <w:t>mixed</w:t>
      </w:r>
      <w:r>
        <w:rPr>
          <w:color w:val="6E6158"/>
          <w:spacing w:val="13"/>
        </w:rPr>
        <w:t> </w:t>
      </w:r>
      <w:r>
        <w:rPr>
          <w:color w:val="6E6158"/>
        </w:rPr>
        <w:t>use</w:t>
      </w:r>
      <w:r>
        <w:rPr>
          <w:color w:val="6E6158"/>
          <w:spacing w:val="14"/>
        </w:rPr>
        <w:t> </w:t>
      </w:r>
      <w:r>
        <w:rPr>
          <w:color w:val="6E6158"/>
        </w:rPr>
        <w:t>project</w:t>
      </w:r>
      <w:r>
        <w:rPr>
          <w:color w:val="6E6158"/>
          <w:spacing w:val="14"/>
        </w:rPr>
        <w:t> </w:t>
      </w:r>
      <w:r>
        <w:rPr>
          <w:color w:val="6E6158"/>
        </w:rPr>
        <w:t>that</w:t>
      </w:r>
      <w:r>
        <w:rPr>
          <w:color w:val="6E6158"/>
          <w:spacing w:val="13"/>
        </w:rPr>
        <w:t> </w:t>
      </w:r>
      <w:r>
        <w:rPr>
          <w:color w:val="6E6158"/>
        </w:rPr>
        <w:t>includes</w:t>
      </w:r>
      <w:r>
        <w:rPr>
          <w:color w:val="6E6158"/>
          <w:spacing w:val="14"/>
        </w:rPr>
        <w:t> </w:t>
      </w:r>
      <w:r>
        <w:rPr>
          <w:color w:val="6E6158"/>
        </w:rPr>
        <w:t>retail</w:t>
      </w:r>
      <w:r>
        <w:rPr>
          <w:color w:val="6E6158"/>
          <w:spacing w:val="14"/>
        </w:rPr>
        <w:t> </w:t>
      </w:r>
      <w:r>
        <w:rPr>
          <w:color w:val="6E6158"/>
        </w:rPr>
        <w:t>shops,</w:t>
      </w:r>
      <w:r>
        <w:rPr>
          <w:color w:val="6E6158"/>
          <w:spacing w:val="13"/>
        </w:rPr>
        <w:t> </w:t>
      </w:r>
      <w:r>
        <w:rPr>
          <w:color w:val="6E6158"/>
        </w:rPr>
        <w:t>offices,</w:t>
      </w:r>
      <w:r>
        <w:rPr>
          <w:color w:val="6E6158"/>
          <w:spacing w:val="14"/>
        </w:rPr>
        <w:t> </w:t>
      </w:r>
      <w:r>
        <w:rPr>
          <w:color w:val="6E6158"/>
        </w:rPr>
        <w:t>restaurants,</w:t>
      </w:r>
      <w:r>
        <w:rPr>
          <w:color w:val="6E6158"/>
          <w:spacing w:val="14"/>
        </w:rPr>
        <w:t> </w:t>
      </w:r>
      <w:r>
        <w:rPr>
          <w:color w:val="6E6158"/>
        </w:rPr>
        <w:t>condominiums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apartments.</w:t>
      </w:r>
    </w:p>
    <w:p>
      <w:pPr>
        <w:pStyle w:val="BodyText"/>
        <w:spacing w:line="292" w:lineRule="auto" w:before="132"/>
        <w:ind w:left="99" w:right="330"/>
      </w:pPr>
      <w:r>
        <w:rPr>
          <w:color w:val="6E6158"/>
        </w:rPr>
        <w:t>Represented investment company in the acquisition of approximately 3,500 single family</w:t>
      </w:r>
      <w:r>
        <w:rPr>
          <w:color w:val="6E6158"/>
          <w:spacing w:val="40"/>
        </w:rPr>
        <w:t> </w:t>
      </w:r>
      <w:r>
        <w:rPr>
          <w:color w:val="6E6158"/>
        </w:rPr>
        <w:t>residential</w:t>
      </w:r>
      <w:r>
        <w:rPr>
          <w:color w:val="6E6158"/>
          <w:spacing w:val="14"/>
        </w:rPr>
        <w:t> </w:t>
      </w:r>
      <w:r>
        <w:rPr>
          <w:color w:val="6E6158"/>
        </w:rPr>
        <w:t>lots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Maricopa,</w:t>
      </w:r>
      <w:r>
        <w:rPr>
          <w:color w:val="6E6158"/>
          <w:spacing w:val="14"/>
        </w:rPr>
        <w:t> </w:t>
      </w:r>
      <w:r>
        <w:rPr>
          <w:color w:val="6E6158"/>
        </w:rPr>
        <w:t>Pinal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Pima</w:t>
      </w:r>
      <w:r>
        <w:rPr>
          <w:color w:val="6E6158"/>
          <w:spacing w:val="14"/>
        </w:rPr>
        <w:t> </w:t>
      </w:r>
      <w:r>
        <w:rPr>
          <w:color w:val="6E6158"/>
        </w:rPr>
        <w:t>Counties</w:t>
      </w:r>
      <w:r>
        <w:rPr>
          <w:color w:val="6E6158"/>
          <w:spacing w:val="14"/>
        </w:rPr>
        <w:t> </w:t>
      </w:r>
      <w:r>
        <w:rPr>
          <w:color w:val="6E6158"/>
        </w:rPr>
        <w:t>for</w:t>
      </w:r>
      <w:r>
        <w:rPr>
          <w:color w:val="6E6158"/>
          <w:spacing w:val="14"/>
        </w:rPr>
        <w:t> </w:t>
      </w:r>
      <w:r>
        <w:rPr>
          <w:color w:val="6E6158"/>
        </w:rPr>
        <w:t>a</w:t>
      </w:r>
      <w:r>
        <w:rPr>
          <w:color w:val="6E6158"/>
          <w:spacing w:val="14"/>
        </w:rPr>
        <w:t> </w:t>
      </w:r>
      <w:r>
        <w:rPr>
          <w:color w:val="6E6158"/>
        </w:rPr>
        <w:t>purchase</w:t>
      </w:r>
      <w:r>
        <w:rPr>
          <w:color w:val="6E6158"/>
          <w:spacing w:val="14"/>
        </w:rPr>
        <w:t> </w:t>
      </w:r>
      <w:r>
        <w:rPr>
          <w:color w:val="6E6158"/>
        </w:rPr>
        <w:t>price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approximately</w:t>
      </w:r>
    </w:p>
    <w:p>
      <w:pPr>
        <w:pStyle w:val="BodyText"/>
        <w:spacing w:after="0" w:line="292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  <w:ind w:left="99"/>
      </w:pPr>
      <w:r>
        <w:rPr>
          <w:color w:val="6E6158"/>
          <w:spacing w:val="-2"/>
        </w:rPr>
        <w:t>$24,000,000.</w:t>
      </w:r>
    </w:p>
    <w:p>
      <w:pPr>
        <w:pStyle w:val="BodyText"/>
        <w:spacing w:line="297" w:lineRule="auto" w:before="174"/>
        <w:ind w:left="99" w:right="384"/>
      </w:pPr>
      <w:r>
        <w:rPr>
          <w:color w:val="6E6158"/>
        </w:rPr>
        <w:t>Represented lending company in the sale of properties acquired through the foreclosure of</w:t>
      </w:r>
      <w:r>
        <w:rPr>
          <w:color w:val="6E6158"/>
          <w:spacing w:val="40"/>
        </w:rPr>
        <w:t> </w:t>
      </w:r>
      <w:r>
        <w:rPr>
          <w:color w:val="6E6158"/>
        </w:rPr>
        <w:t>loans with balances totaling approximately $900,000,000, including hotel, condominium, </w:t>
      </w:r>
      <w:r>
        <w:rPr>
          <w:color w:val="6E6158"/>
        </w:rPr>
        <w:t>retail,</w:t>
      </w:r>
      <w:r>
        <w:rPr>
          <w:color w:val="6E6158"/>
          <w:spacing w:val="40"/>
        </w:rPr>
        <w:t> </w:t>
      </w:r>
      <w:r>
        <w:rPr>
          <w:color w:val="6E6158"/>
        </w:rPr>
        <w:t>commercial and residential properties.</w:t>
      </w:r>
    </w:p>
    <w:p>
      <w:pPr>
        <w:pStyle w:val="BodyText"/>
        <w:spacing w:line="292" w:lineRule="auto" w:before="118"/>
        <w:ind w:left="99" w:right="384"/>
      </w:pPr>
      <w:r>
        <w:rPr>
          <w:color w:val="6E6158"/>
        </w:rPr>
        <w:t>Represented investment company in the acquisition of properties in Maricopa and </w:t>
      </w:r>
      <w:r>
        <w:rPr>
          <w:color w:val="6E6158"/>
        </w:rPr>
        <w:t>Pinal Counties</w:t>
      </w:r>
      <w:r>
        <w:rPr>
          <w:color w:val="6E6158"/>
          <w:spacing w:val="33"/>
        </w:rPr>
        <w:t> </w:t>
      </w:r>
      <w:r>
        <w:rPr>
          <w:color w:val="6E6158"/>
        </w:rPr>
        <w:t>planned</w:t>
      </w:r>
      <w:r>
        <w:rPr>
          <w:color w:val="6E6158"/>
          <w:spacing w:val="33"/>
        </w:rPr>
        <w:t> </w:t>
      </w:r>
      <w:r>
        <w:rPr>
          <w:color w:val="6E6158"/>
        </w:rPr>
        <w:t>for</w:t>
      </w:r>
      <w:r>
        <w:rPr>
          <w:color w:val="6E6158"/>
          <w:spacing w:val="33"/>
        </w:rPr>
        <w:t> </w:t>
      </w:r>
      <w:r>
        <w:rPr>
          <w:color w:val="6E6158"/>
        </w:rPr>
        <w:t>5,648</w:t>
      </w:r>
      <w:r>
        <w:rPr>
          <w:color w:val="6E6158"/>
          <w:spacing w:val="33"/>
        </w:rPr>
        <w:t> </w:t>
      </w:r>
      <w:r>
        <w:rPr>
          <w:color w:val="6E6158"/>
        </w:rPr>
        <w:t>homes</w:t>
      </w:r>
      <w:r>
        <w:rPr>
          <w:color w:val="6E6158"/>
          <w:spacing w:val="33"/>
        </w:rPr>
        <w:t> </w:t>
      </w:r>
      <w:r>
        <w:rPr>
          <w:color w:val="6E6158"/>
        </w:rPr>
        <w:t>for</w:t>
      </w:r>
      <w:r>
        <w:rPr>
          <w:color w:val="6E6158"/>
          <w:spacing w:val="33"/>
        </w:rPr>
        <w:t> </w:t>
      </w:r>
      <w:r>
        <w:rPr>
          <w:color w:val="6E6158"/>
        </w:rPr>
        <w:t>a</w:t>
      </w:r>
      <w:r>
        <w:rPr>
          <w:color w:val="6E6158"/>
          <w:spacing w:val="33"/>
        </w:rPr>
        <w:t> </w:t>
      </w:r>
      <w:r>
        <w:rPr>
          <w:color w:val="6E6158"/>
        </w:rPr>
        <w:t>purchase</w:t>
      </w:r>
      <w:r>
        <w:rPr>
          <w:color w:val="6E6158"/>
          <w:spacing w:val="33"/>
        </w:rPr>
        <w:t> </w:t>
      </w:r>
      <w:r>
        <w:rPr>
          <w:color w:val="6E6158"/>
        </w:rPr>
        <w:t>price</w:t>
      </w:r>
      <w:r>
        <w:rPr>
          <w:color w:val="6E6158"/>
          <w:spacing w:val="33"/>
        </w:rPr>
        <w:t> </w:t>
      </w:r>
      <w:r>
        <w:rPr>
          <w:color w:val="6E6158"/>
        </w:rPr>
        <w:t>of</w:t>
      </w:r>
      <w:r>
        <w:rPr>
          <w:color w:val="6E6158"/>
          <w:spacing w:val="33"/>
        </w:rPr>
        <w:t> </w:t>
      </w:r>
      <w:r>
        <w:rPr>
          <w:color w:val="6E6158"/>
        </w:rPr>
        <w:t>approximately</w:t>
      </w:r>
      <w:r>
        <w:rPr>
          <w:color w:val="6E6158"/>
          <w:spacing w:val="33"/>
        </w:rPr>
        <w:t> </w:t>
      </w:r>
      <w:r>
        <w:rPr>
          <w:color w:val="6E6158"/>
        </w:rPr>
        <w:t>$28,000,000.</w:t>
      </w:r>
    </w:p>
    <w:p>
      <w:pPr>
        <w:pStyle w:val="BodyText"/>
        <w:spacing w:line="292" w:lineRule="auto" w:before="132"/>
        <w:ind w:left="99" w:right="330"/>
      </w:pPr>
      <w:r>
        <w:rPr>
          <w:color w:val="6E6158"/>
        </w:rPr>
        <w:t>Represented investment company in the acquisition of approximately 4,500 acres of real</w:t>
      </w:r>
      <w:r>
        <w:rPr>
          <w:color w:val="6E6158"/>
          <w:spacing w:val="40"/>
        </w:rPr>
        <w:t> </w:t>
      </w:r>
      <w:r>
        <w:rPr>
          <w:color w:val="6E6158"/>
        </w:rPr>
        <w:t>property located in Pinal County, zoned and entitled for approximately 15,000 single family </w:t>
      </w:r>
      <w:r>
        <w:rPr>
          <w:color w:val="6E6158"/>
        </w:rPr>
        <w:t>lots</w:t>
      </w:r>
      <w:r>
        <w:rPr>
          <w:color w:val="6E6158"/>
          <w:spacing w:val="40"/>
        </w:rPr>
        <w:t> </w:t>
      </w:r>
      <w:r>
        <w:rPr>
          <w:color w:val="6E6158"/>
        </w:rPr>
        <w:t>for a purchase price of approximately $28,000,000.</w:t>
      </w:r>
    </w:p>
    <w:p>
      <w:pPr>
        <w:pStyle w:val="BodyText"/>
        <w:spacing w:line="302" w:lineRule="auto" w:before="124"/>
        <w:ind w:left="99" w:right="399"/>
      </w:pPr>
      <w:r>
        <w:rPr>
          <w:color w:val="6E6158"/>
        </w:rPr>
        <w:t>Represented developer in the acquisition, development, financing, operation and sale of </w:t>
      </w:r>
      <w:r>
        <w:rPr>
          <w:color w:val="6E6158"/>
        </w:rPr>
        <w:t>two</w:t>
      </w:r>
      <w:r>
        <w:rPr>
          <w:color w:val="6E6158"/>
          <w:spacing w:val="40"/>
        </w:rPr>
        <w:t> </w:t>
      </w:r>
      <w:r>
        <w:rPr>
          <w:color w:val="6E6158"/>
        </w:rPr>
        <w:t>golf course recreational communities located in Payson, Arizona.</w:t>
      </w:r>
    </w:p>
    <w:p>
      <w:pPr>
        <w:pStyle w:val="BodyText"/>
        <w:spacing w:line="292" w:lineRule="auto" w:before="112"/>
        <w:ind w:left="99" w:right="330"/>
      </w:pPr>
      <w:r>
        <w:rPr>
          <w:color w:val="6E6158"/>
        </w:rPr>
        <w:t>Represented developer in the acquisition, financing and development of a resort project in</w:t>
      </w:r>
      <w:r>
        <w:rPr>
          <w:color w:val="6E6158"/>
          <w:spacing w:val="40"/>
        </w:rPr>
        <w:t> </w:t>
      </w:r>
      <w:r>
        <w:rPr>
          <w:color w:val="6E6158"/>
        </w:rPr>
        <w:t>Sedona, Arizona, which includes a championship golf course, clubhouse, residential lots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condominiums.</w:t>
      </w:r>
    </w:p>
    <w:p>
      <w:pPr>
        <w:pStyle w:val="BodyText"/>
        <w:spacing w:line="292" w:lineRule="auto" w:before="132"/>
        <w:ind w:left="99" w:right="384"/>
      </w:pPr>
      <w:r>
        <w:rPr>
          <w:color w:val="6E6158"/>
        </w:rPr>
        <w:t>Represented investment group in the acquisition, assemblage and financing of </w:t>
      </w:r>
      <w:r>
        <w:rPr>
          <w:color w:val="6E6158"/>
        </w:rPr>
        <w:t>an approximately 1,100-acre residential community in Surprise, Arizona.</w:t>
      </w:r>
    </w:p>
    <w:p>
      <w:pPr>
        <w:pStyle w:val="BodyText"/>
        <w:spacing w:line="302" w:lineRule="auto" w:before="124"/>
        <w:ind w:left="99" w:right="330"/>
      </w:pPr>
      <w:r>
        <w:rPr>
          <w:color w:val="6E6158"/>
        </w:rPr>
        <w:t>Represented developer in the acquisition, financing and development of a master </w:t>
      </w:r>
      <w:r>
        <w:rPr>
          <w:color w:val="6E6158"/>
        </w:rPr>
        <w:t>planned</w:t>
      </w:r>
      <w:r>
        <w:rPr>
          <w:color w:val="6E6158"/>
          <w:spacing w:val="40"/>
        </w:rPr>
        <w:t> </w:t>
      </w:r>
      <w:r>
        <w:rPr>
          <w:color w:val="6E6158"/>
        </w:rPr>
        <w:t>project in Avondale, Arizona consisting of office, hotel, retail and restaurant properties.</w:t>
      </w:r>
    </w:p>
    <w:p>
      <w:pPr>
        <w:pStyle w:val="BodyText"/>
        <w:spacing w:line="292" w:lineRule="auto" w:before="112"/>
        <w:ind w:left="99" w:right="114"/>
      </w:pPr>
      <w:r>
        <w:rPr>
          <w:color w:val="6E6158"/>
        </w:rPr>
        <w:t>Represented</w:t>
      </w:r>
      <w:r>
        <w:rPr>
          <w:color w:val="6E6158"/>
          <w:spacing w:val="17"/>
        </w:rPr>
        <w:t> </w:t>
      </w:r>
      <w:r>
        <w:rPr>
          <w:color w:val="6E6158"/>
        </w:rPr>
        <w:t>investment</w:t>
      </w:r>
      <w:r>
        <w:rPr>
          <w:color w:val="6E6158"/>
          <w:spacing w:val="17"/>
        </w:rPr>
        <w:t> </w:t>
      </w:r>
      <w:r>
        <w:rPr>
          <w:color w:val="6E6158"/>
        </w:rPr>
        <w:t>company</w:t>
      </w:r>
      <w:r>
        <w:rPr>
          <w:color w:val="6E6158"/>
          <w:spacing w:val="17"/>
        </w:rPr>
        <w:t> </w:t>
      </w:r>
      <w:r>
        <w:rPr>
          <w:color w:val="6E6158"/>
        </w:rPr>
        <w:t>in</w:t>
      </w:r>
      <w:r>
        <w:rPr>
          <w:color w:val="6E6158"/>
          <w:spacing w:val="17"/>
        </w:rPr>
        <w:t> </w:t>
      </w:r>
      <w:r>
        <w:rPr>
          <w:color w:val="6E6158"/>
        </w:rPr>
        <w:t>the</w:t>
      </w:r>
      <w:r>
        <w:rPr>
          <w:color w:val="6E6158"/>
          <w:spacing w:val="17"/>
        </w:rPr>
        <w:t> </w:t>
      </w:r>
      <w:r>
        <w:rPr>
          <w:color w:val="6E6158"/>
        </w:rPr>
        <w:t>acquisition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sale</w:t>
      </w:r>
      <w:r>
        <w:rPr>
          <w:color w:val="6E6158"/>
          <w:spacing w:val="17"/>
        </w:rPr>
        <w:t> </w:t>
      </w:r>
      <w:r>
        <w:rPr>
          <w:color w:val="6E6158"/>
        </w:rPr>
        <w:t>of</w:t>
      </w:r>
      <w:r>
        <w:rPr>
          <w:color w:val="6E6158"/>
          <w:spacing w:val="17"/>
        </w:rPr>
        <w:t> </w:t>
      </w:r>
      <w:r>
        <w:rPr>
          <w:color w:val="6E6158"/>
        </w:rPr>
        <w:t>several</w:t>
      </w:r>
      <w:r>
        <w:rPr>
          <w:color w:val="6E6158"/>
          <w:spacing w:val="17"/>
        </w:rPr>
        <w:t> </w:t>
      </w:r>
      <w:r>
        <w:rPr>
          <w:color w:val="6E6158"/>
        </w:rPr>
        <w:t>office</w:t>
      </w:r>
      <w:r>
        <w:rPr>
          <w:color w:val="6E6158"/>
          <w:spacing w:val="17"/>
        </w:rPr>
        <w:t> </w:t>
      </w:r>
      <w:r>
        <w:rPr>
          <w:color w:val="6E6158"/>
        </w:rPr>
        <w:t>buildings</w:t>
      </w:r>
      <w:r>
        <w:rPr>
          <w:color w:val="6E6158"/>
          <w:spacing w:val="17"/>
        </w:rPr>
        <w:t> </w:t>
      </w:r>
      <w:r>
        <w:rPr>
          <w:color w:val="6E6158"/>
        </w:rPr>
        <w:t>located in Phoenix and Mesa, Arizona.</w:t>
      </w:r>
    </w:p>
    <w:p>
      <w:pPr>
        <w:pStyle w:val="BodyText"/>
        <w:spacing w:before="113"/>
        <w:rPr>
          <w:sz w:val="24"/>
        </w:rPr>
      </w:pPr>
    </w:p>
    <w:p>
      <w:pPr>
        <w:pStyle w:val="Heading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3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3"/>
          <w:sz w:val="20"/>
        </w:rPr>
        <w:t> </w:t>
      </w:r>
      <w:r>
        <w:rPr>
          <w:color w:val="6E6158"/>
          <w:sz w:val="19"/>
        </w:rPr>
        <w:t>Real Estate Law, 2007-2016, 2018-</w:t>
      </w:r>
      <w:r>
        <w:rPr>
          <w:color w:val="6E6158"/>
          <w:spacing w:val="-4"/>
          <w:sz w:val="19"/>
        </w:rPr>
        <w:t>2027</w:t>
      </w:r>
    </w:p>
    <w:p>
      <w:pPr>
        <w:spacing w:line="398" w:lineRule="auto" w:before="173"/>
        <w:ind w:left="99" w:right="3740" w:firstLine="0"/>
        <w:jc w:val="left"/>
        <w:rPr>
          <w:sz w:val="19"/>
        </w:rPr>
      </w:pPr>
      <w:r>
        <w:rPr>
          <w:i/>
          <w:color w:val="6E6158"/>
          <w:sz w:val="20"/>
        </w:rPr>
        <w:t>Southwest Super 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Real Estate, 2012-2019 </w:t>
      </w:r>
      <w:r>
        <w:rPr>
          <w:i/>
          <w:color w:val="6E6158"/>
          <w:sz w:val="20"/>
        </w:rPr>
        <w:t>Arizona’s Top Lawyers, AZ Business Magazine, </w:t>
      </w:r>
      <w:r>
        <w:rPr>
          <w:color w:val="6E6158"/>
          <w:sz w:val="19"/>
        </w:rPr>
        <w:t>2014 Recommended in </w:t>
      </w:r>
      <w:r>
        <w:rPr>
          <w:i/>
          <w:color w:val="6E6158"/>
          <w:sz w:val="20"/>
        </w:rPr>
        <w:t>The Legal 500 US, </w:t>
      </w:r>
      <w:r>
        <w:rPr>
          <w:color w:val="6E6158"/>
          <w:sz w:val="19"/>
        </w:rPr>
        <w:t>Real Estate, </w:t>
      </w:r>
      <w:r>
        <w:rPr>
          <w:color w:val="6E6158"/>
          <w:sz w:val="19"/>
        </w:rPr>
        <w:t>2011</w:t>
      </w:r>
    </w:p>
    <w:p>
      <w:pPr>
        <w:pStyle w:val="BodyText"/>
        <w:spacing w:before="2"/>
        <w:ind w:left="99"/>
      </w:pPr>
      <w:r>
        <w:rPr>
          <w:color w:val="6E6158"/>
        </w:rPr>
        <w:t>AV</w:t>
      </w:r>
      <w:r>
        <w:rPr>
          <w:color w:val="6E6158"/>
          <w:position w:val="7"/>
          <w:sz w:val="16"/>
        </w:rPr>
        <w:t>®</w:t>
      </w:r>
      <w:r>
        <w:rPr>
          <w:color w:val="6E6158"/>
          <w:spacing w:val="20"/>
          <w:position w:val="7"/>
          <w:sz w:val="16"/>
        </w:rPr>
        <w:t> </w:t>
      </w:r>
      <w:r>
        <w:rPr>
          <w:color w:val="6E6158"/>
        </w:rPr>
        <w:t>Preeminent™</w:t>
      </w:r>
      <w:r>
        <w:rPr>
          <w:color w:val="6E6158"/>
          <w:spacing w:val="13"/>
        </w:rPr>
        <w:t> </w:t>
      </w:r>
      <w:r>
        <w:rPr>
          <w:color w:val="6E6158"/>
        </w:rPr>
        <w:t>Peer</w:t>
      </w:r>
      <w:r>
        <w:rPr>
          <w:color w:val="6E6158"/>
          <w:spacing w:val="12"/>
        </w:rPr>
        <w:t> </w:t>
      </w:r>
      <w:r>
        <w:rPr>
          <w:color w:val="6E6158"/>
        </w:rPr>
        <w:t>Review</w:t>
      </w:r>
      <w:r>
        <w:rPr>
          <w:color w:val="6E6158"/>
          <w:spacing w:val="13"/>
        </w:rPr>
        <w:t> </w:t>
      </w:r>
      <w:r>
        <w:rPr>
          <w:color w:val="6E6158"/>
        </w:rPr>
        <w:t>Rated</w:t>
      </w:r>
      <w:r>
        <w:rPr>
          <w:color w:val="6E6158"/>
          <w:spacing w:val="13"/>
        </w:rPr>
        <w:t> </w:t>
      </w:r>
      <w:r>
        <w:rPr>
          <w:color w:val="6E6158"/>
        </w:rPr>
        <w:t>(the</w:t>
      </w:r>
      <w:r>
        <w:rPr>
          <w:color w:val="6E6158"/>
          <w:spacing w:val="12"/>
        </w:rPr>
        <w:t> </w:t>
      </w:r>
      <w:r>
        <w:rPr>
          <w:color w:val="6E6158"/>
        </w:rPr>
        <w:t>highest</w:t>
      </w:r>
      <w:r>
        <w:rPr>
          <w:color w:val="6E6158"/>
          <w:spacing w:val="13"/>
        </w:rPr>
        <w:t> </w:t>
      </w:r>
      <w:r>
        <w:rPr>
          <w:color w:val="6E6158"/>
        </w:rPr>
        <w:t>rating</w:t>
      </w:r>
      <w:r>
        <w:rPr>
          <w:color w:val="6E6158"/>
          <w:spacing w:val="13"/>
        </w:rPr>
        <w:t> </w:t>
      </w:r>
      <w:r>
        <w:rPr>
          <w:color w:val="6E6158"/>
        </w:rPr>
        <w:t>available),</w:t>
      </w:r>
      <w:r>
        <w:rPr>
          <w:color w:val="6E6158"/>
          <w:spacing w:val="12"/>
        </w:rPr>
        <w:t> </w:t>
      </w:r>
      <w:r>
        <w:rPr>
          <w:color w:val="6E6158"/>
        </w:rPr>
        <w:t>by</w:t>
      </w:r>
      <w:r>
        <w:rPr>
          <w:color w:val="6E6158"/>
          <w:spacing w:val="13"/>
        </w:rPr>
        <w:t> </w:t>
      </w:r>
      <w:r>
        <w:rPr>
          <w:color w:val="6E6158"/>
        </w:rPr>
        <w:t>Martindale-</w:t>
      </w:r>
      <w:r>
        <w:rPr>
          <w:color w:val="6E6158"/>
          <w:spacing w:val="-2"/>
        </w:rPr>
        <w:t>Hubbell</w:t>
      </w:r>
    </w:p>
    <w:p>
      <w:pPr>
        <w:pStyle w:val="BodyText"/>
        <w:spacing w:before="171"/>
        <w:rPr>
          <w:sz w:val="24"/>
        </w:rPr>
      </w:pPr>
    </w:p>
    <w:p>
      <w:pPr>
        <w:pStyle w:val="Heading2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before="1"/>
        <w:ind w:left="99"/>
      </w:pPr>
      <w:r>
        <w:rPr>
          <w:color w:val="6E6158"/>
        </w:rPr>
        <w:t>Member,</w:t>
      </w:r>
      <w:r>
        <w:rPr>
          <w:color w:val="6E6158"/>
          <w:spacing w:val="8"/>
        </w:rPr>
        <w:t> </w:t>
      </w:r>
      <w:r>
        <w:rPr>
          <w:color w:val="6E6158"/>
        </w:rPr>
        <w:t>Real</w:t>
      </w:r>
      <w:r>
        <w:rPr>
          <w:color w:val="6E6158"/>
          <w:spacing w:val="7"/>
        </w:rPr>
        <w:t> </w:t>
      </w:r>
      <w:r>
        <w:rPr>
          <w:color w:val="6E6158"/>
        </w:rPr>
        <w:t>Estate</w:t>
      </w:r>
      <w:r>
        <w:rPr>
          <w:color w:val="6E6158"/>
          <w:spacing w:val="8"/>
        </w:rPr>
        <w:t> </w:t>
      </w:r>
      <w:r>
        <w:rPr>
          <w:color w:val="6E6158"/>
        </w:rPr>
        <w:t>Section,</w:t>
      </w:r>
      <w:r>
        <w:rPr>
          <w:color w:val="6E6158"/>
          <w:spacing w:val="8"/>
        </w:rPr>
        <w:t> </w:t>
      </w:r>
      <w:r>
        <w:rPr>
          <w:color w:val="6E6158"/>
        </w:rPr>
        <w:t>State</w:t>
      </w:r>
      <w:r>
        <w:rPr>
          <w:color w:val="6E6158"/>
          <w:spacing w:val="8"/>
        </w:rPr>
        <w:t> </w:t>
      </w:r>
      <w:r>
        <w:rPr>
          <w:color w:val="6E6158"/>
        </w:rPr>
        <w:t>Bar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74"/>
        <w:ind w:left="99"/>
      </w:pPr>
      <w:r>
        <w:rPr>
          <w:color w:val="6E6158"/>
        </w:rPr>
        <w:t>Member,</w:t>
      </w:r>
      <w:r>
        <w:rPr>
          <w:color w:val="6E6158"/>
          <w:spacing w:val="9"/>
        </w:rPr>
        <w:t> </w:t>
      </w:r>
      <w:r>
        <w:rPr>
          <w:color w:val="6E6158"/>
        </w:rPr>
        <w:t>Business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9"/>
        </w:rPr>
        <w:t> </w:t>
      </w:r>
      <w:r>
        <w:rPr>
          <w:color w:val="6E6158"/>
        </w:rPr>
        <w:t>Securities</w:t>
      </w:r>
      <w:r>
        <w:rPr>
          <w:color w:val="6E6158"/>
          <w:spacing w:val="10"/>
        </w:rPr>
        <w:t> </w:t>
      </w:r>
      <w:r>
        <w:rPr>
          <w:color w:val="6E6158"/>
        </w:rPr>
        <w:t>Section,</w:t>
      </w:r>
      <w:r>
        <w:rPr>
          <w:color w:val="6E6158"/>
          <w:spacing w:val="9"/>
        </w:rPr>
        <w:t> </w:t>
      </w:r>
      <w:r>
        <w:rPr>
          <w:color w:val="6E6158"/>
        </w:rPr>
        <w:t>State</w:t>
      </w:r>
      <w:r>
        <w:rPr>
          <w:color w:val="6E6158"/>
          <w:spacing w:val="10"/>
        </w:rPr>
        <w:t> </w:t>
      </w:r>
      <w:r>
        <w:rPr>
          <w:color w:val="6E6158"/>
        </w:rPr>
        <w:t>Bar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62"/>
        <w:rPr>
          <w:sz w:val="24"/>
        </w:rPr>
      </w:pPr>
    </w:p>
    <w:p>
      <w:pPr>
        <w:pStyle w:val="Heading2"/>
        <w:spacing w:before="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Arizona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real-estate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mnesvig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 A. Nesvig - Fennemore</dc:title>
  <dcterms:created xsi:type="dcterms:W3CDTF">2026-08-21T00:08:38Z</dcterms:created>
  <dcterms:modified xsi:type="dcterms:W3CDTF">2026-08-21T00:08:38Z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2026-08-21T00:00:00Z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2026-08-21T00:00:00Z</vt:filetime>
  </property>
  <property fmtid="{D5CDD505-2E9C-101B-9397-08002B2CF9AE}" pid="6" name="Producer">
    <vt:lpwstr>Skia/PDF m151</vt:lpwstr>
  </property>
</Properties>
</file>