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65"/>
        <w:rPr>
          <w:rFonts w:ascii="Times New Roman"/>
        </w:rPr>
      </w:pPr>
    </w:p>
    <w:p>
      <w:pPr>
        <w:pStyle w:val="BodyText"/>
        <w:spacing w:line="295" w:lineRule="auto"/>
        <w:ind w:left="99" w:right="283"/>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-5102435</wp:posOffset>
                </wp:positionV>
                <wp:extent cx="6071870" cy="50107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5010785"/>
                          <a:chExt cx="6071870" cy="5010785"/>
                        </a:xfrm>
                      </wpg:grpSpPr>
                      <wps:wsp>
                        <wps:cNvPr id="2" name="Graphic 2"/>
                        <wps:cNvSpPr/>
                        <wps:spPr>
                          <a:xfrm>
                            <a:off x="0" y="3436262"/>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Michelle Fairbank bio"/>
                          <pic:cNvPicPr/>
                        </pic:nvPicPr>
                        <pic:blipFill>
                          <a:blip r:embed="rId7" cstate="print"/>
                          <a:stretch>
                            <a:fillRect/>
                          </a:stretch>
                        </pic:blipFill>
                        <pic:spPr>
                          <a:xfrm>
                            <a:off x="0" y="268700"/>
                            <a:ext cx="3038379" cy="3167562"/>
                          </a:xfrm>
                          <a:prstGeom prst="rect">
                            <a:avLst/>
                          </a:prstGeom>
                        </pic:spPr>
                      </pic:pic>
                      <wps:wsp>
                        <wps:cNvPr id="5" name="Graphic 5"/>
                        <wps:cNvSpPr/>
                        <wps:spPr>
                          <a:xfrm>
                            <a:off x="3038379" y="268700"/>
                            <a:ext cx="3033395" cy="3168015"/>
                          </a:xfrm>
                          <a:custGeom>
                            <a:avLst/>
                            <a:gdLst/>
                            <a:ahLst/>
                            <a:cxnLst/>
                            <a:rect l="l" t="t" r="r" b="b"/>
                            <a:pathLst>
                              <a:path w="3033395" h="3168015">
                                <a:moveTo>
                                  <a:pt x="3033212" y="3167562"/>
                                </a:moveTo>
                                <a:lnTo>
                                  <a:pt x="0" y="3167562"/>
                                </a:lnTo>
                                <a:lnTo>
                                  <a:pt x="0" y="0"/>
                                </a:lnTo>
                                <a:lnTo>
                                  <a:pt x="3033212" y="0"/>
                                </a:lnTo>
                                <a:lnTo>
                                  <a:pt x="3033212" y="3167562"/>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493097" y="1911908"/>
                            <a:ext cx="2118995" cy="320675"/>
                          </a:xfrm>
                          <a:custGeom>
                            <a:avLst/>
                            <a:gdLst/>
                            <a:ahLst/>
                            <a:cxnLst/>
                            <a:rect l="l" t="t" r="r" b="b"/>
                            <a:pathLst>
                              <a:path w="2118995" h="320675">
                                <a:moveTo>
                                  <a:pt x="2118601" y="315214"/>
                                </a:moveTo>
                                <a:lnTo>
                                  <a:pt x="0" y="315214"/>
                                </a:lnTo>
                                <a:lnTo>
                                  <a:pt x="0" y="320370"/>
                                </a:lnTo>
                                <a:lnTo>
                                  <a:pt x="2118601" y="320370"/>
                                </a:lnTo>
                                <a:lnTo>
                                  <a:pt x="2118601" y="315214"/>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916096" y="763308"/>
                            <a:ext cx="1288415" cy="1367790"/>
                          </a:xfrm>
                          <a:prstGeom prst="rect">
                            <a:avLst/>
                          </a:prstGeom>
                        </wps:spPr>
                        <wps:txbx>
                          <w:txbxContent>
                            <w:p>
                              <w:pPr>
                                <w:spacing w:line="216" w:lineRule="auto" w:before="40"/>
                                <w:ind w:left="-1" w:right="18" w:firstLine="0"/>
                                <w:jc w:val="center"/>
                                <w:rPr>
                                  <w:sz w:val="39"/>
                                </w:rPr>
                              </w:pPr>
                              <w:r>
                                <w:rPr>
                                  <w:color w:val="FFFFFF"/>
                                  <w:spacing w:val="-2"/>
                                  <w:sz w:val="39"/>
                                </w:rPr>
                                <w:t>MICHELINE NADEAU FAIRBANK</w:t>
                              </w:r>
                            </w:p>
                            <w:p>
                              <w:pPr>
                                <w:spacing w:before="41"/>
                                <w:ind w:left="0" w:right="18" w:firstLine="0"/>
                                <w:jc w:val="center"/>
                                <w:rPr>
                                  <w:sz w:val="24"/>
                                </w:rPr>
                              </w:pPr>
                              <w:r>
                                <w:rPr>
                                  <w:color w:val="FFFFFF"/>
                                  <w:spacing w:val="-2"/>
                                  <w:sz w:val="24"/>
                                </w:rPr>
                                <w:t>Director</w:t>
                              </w:r>
                            </w:p>
                            <w:p>
                              <w:pPr>
                                <w:spacing w:before="290"/>
                                <w:ind w:left="0" w:right="18" w:firstLine="0"/>
                                <w:jc w:val="center"/>
                                <w:rPr>
                                  <w:sz w:val="16"/>
                                </w:rPr>
                              </w:pPr>
                              <w:hyperlink r:id="rId8">
                                <w:r>
                                  <w:rPr>
                                    <w:color w:val="FFFFFF"/>
                                    <w:sz w:val="16"/>
                                  </w:rPr>
                                  <w:t>Natural</w:t>
                                </w:r>
                                <w:r>
                                  <w:rPr>
                                    <w:color w:val="FFFFFF"/>
                                    <w:spacing w:val="5"/>
                                    <w:sz w:val="16"/>
                                  </w:rPr>
                                  <w:t> </w:t>
                                </w:r>
                                <w:r>
                                  <w:rPr>
                                    <w:color w:val="FFFFFF"/>
                                    <w:spacing w:val="-2"/>
                                    <w:sz w:val="16"/>
                                  </w:rPr>
                                  <w:t>Resources</w:t>
                                </w:r>
                              </w:hyperlink>
                            </w:p>
                          </w:txbxContent>
                        </wps:txbx>
                        <wps:bodyPr wrap="square" lIns="0" tIns="0" rIns="0" bIns="0" rtlCol="0">
                          <a:noAutofit/>
                        </wps:bodyPr>
                      </wps:wsp>
                      <wps:wsp>
                        <wps:cNvPr id="8" name="Textbox 8"/>
                        <wps:cNvSpPr txBox="1"/>
                        <wps:spPr>
                          <a:xfrm>
                            <a:off x="4423380" y="2402194"/>
                            <a:ext cx="273685" cy="127000"/>
                          </a:xfrm>
                          <a:prstGeom prst="rect">
                            <a:avLst/>
                          </a:prstGeom>
                        </wps:spPr>
                        <wps:txbx>
                          <w:txbxContent>
                            <w:p>
                              <w:pPr>
                                <w:spacing w:before="2"/>
                                <w:ind w:left="0" w:right="0" w:firstLine="0"/>
                                <w:jc w:val="left"/>
                                <w:rPr>
                                  <w:sz w:val="16"/>
                                </w:rPr>
                              </w:pPr>
                              <w:hyperlink r:id="rId9">
                                <w:r>
                                  <w:rPr>
                                    <w:color w:val="FFFFFF"/>
                                    <w:spacing w:val="-4"/>
                                    <w:sz w:val="16"/>
                                  </w:rPr>
                                  <w:t>Reno</w:t>
                                </w:r>
                              </w:hyperlink>
                            </w:p>
                          </w:txbxContent>
                        </wps:txbx>
                        <wps:bodyPr wrap="square" lIns="0" tIns="0" rIns="0" bIns="0" rtlCol="0">
                          <a:noAutofit/>
                        </wps:bodyPr>
                      </wps:wsp>
                      <wps:wsp>
                        <wps:cNvPr id="9" name="Textbox 9"/>
                        <wps:cNvSpPr txBox="1"/>
                        <wps:spPr>
                          <a:xfrm>
                            <a:off x="3582320" y="2562351"/>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775.788.2210</w:t>
                              </w:r>
                            </w:p>
                          </w:txbxContent>
                        </wps:txbx>
                        <wps:bodyPr wrap="square" lIns="0" tIns="0" rIns="0" bIns="0" rtlCol="0">
                          <a:noAutofit/>
                        </wps:bodyPr>
                      </wps:wsp>
                      <wps:wsp>
                        <wps:cNvPr id="10" name="Textbox 10"/>
                        <wps:cNvSpPr txBox="1"/>
                        <wps:spPr>
                          <a:xfrm>
                            <a:off x="4750778" y="2562351"/>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775.788.1177</w:t>
                              </w:r>
                            </w:p>
                          </w:txbxContent>
                        </wps:txbx>
                        <wps:bodyPr wrap="square" lIns="0" tIns="0" rIns="0" bIns="0" rtlCol="0">
                          <a:noAutofit/>
                        </wps:bodyPr>
                      </wps:wsp>
                      <wps:wsp>
                        <wps:cNvPr id="11" name="Textbox 11"/>
                        <wps:cNvSpPr txBox="1"/>
                        <wps:spPr>
                          <a:xfrm>
                            <a:off x="3758735" y="2774241"/>
                            <a:ext cx="1602740" cy="127000"/>
                          </a:xfrm>
                          <a:prstGeom prst="rect">
                            <a:avLst/>
                          </a:prstGeom>
                        </wps:spPr>
                        <wps:txbx>
                          <w:txbxContent>
                            <w:p>
                              <w:pPr>
                                <w:spacing w:before="2"/>
                                <w:ind w:left="0" w:right="0" w:firstLine="0"/>
                                <w:jc w:val="left"/>
                                <w:rPr>
                                  <w:sz w:val="16"/>
                                </w:rPr>
                              </w:pPr>
                              <w:hyperlink r:id="rId10">
                                <w:r>
                                  <w:rPr>
                                    <w:color w:val="FFFFFF"/>
                                    <w:spacing w:val="-2"/>
                                    <w:sz w:val="16"/>
                                  </w:rPr>
                                  <w:t>mfairbank@fennemorelaw.com</w:t>
                                </w:r>
                              </w:hyperlink>
                            </w:p>
                          </w:txbxContent>
                        </wps:txbx>
                        <wps:bodyPr wrap="square" lIns="0" tIns="0" rIns="0" bIns="0" rtlCol="0">
                          <a:noAutofit/>
                        </wps:bodyPr>
                      </wps:wsp>
                      <wps:wsp>
                        <wps:cNvPr id="12" name="Textbox 12"/>
                        <wps:cNvSpPr txBox="1"/>
                        <wps:spPr>
                          <a:xfrm>
                            <a:off x="769929" y="3859729"/>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651602" y="4029898"/>
                            <a:ext cx="2784475" cy="307975"/>
                          </a:xfrm>
                          <a:prstGeom prst="rect">
                            <a:avLst/>
                          </a:prstGeom>
                        </wps:spPr>
                        <wps:txbx>
                          <w:txbxContent>
                            <w:p>
                              <w:pPr>
                                <w:spacing w:before="2"/>
                                <w:ind w:left="0" w:right="18" w:firstLine="0"/>
                                <w:jc w:val="center"/>
                                <w:rPr>
                                  <w:sz w:val="16"/>
                                </w:rPr>
                              </w:pPr>
                              <w:r>
                                <w:rPr>
                                  <w:color w:val="FFFFFF"/>
                                  <w:spacing w:val="-6"/>
                                  <w:sz w:val="16"/>
                                </w:rPr>
                                <w:t>Continuous</w:t>
                              </w:r>
                              <w:r>
                                <w:rPr>
                                  <w:color w:val="FFFFFF"/>
                                  <w:spacing w:val="1"/>
                                  <w:sz w:val="16"/>
                                </w:rPr>
                                <w:t> </w:t>
                              </w:r>
                              <w:r>
                                <w:rPr>
                                  <w:color w:val="FFFFFF"/>
                                  <w:spacing w:val="-6"/>
                                  <w:sz w:val="16"/>
                                </w:rPr>
                                <w:t>improvement</w:t>
                              </w:r>
                              <w:r>
                                <w:rPr>
                                  <w:color w:val="FFFFFF"/>
                                  <w:spacing w:val="2"/>
                                  <w:sz w:val="16"/>
                                </w:rPr>
                                <w:t> </w:t>
                              </w:r>
                              <w:r>
                                <w:rPr>
                                  <w:color w:val="FFFFFF"/>
                                  <w:spacing w:val="-6"/>
                                  <w:sz w:val="16"/>
                                </w:rPr>
                                <w:t>is</w:t>
                              </w:r>
                              <w:r>
                                <w:rPr>
                                  <w:color w:val="FFFFFF"/>
                                  <w:spacing w:val="2"/>
                                  <w:sz w:val="16"/>
                                </w:rPr>
                                <w:t> </w:t>
                              </w:r>
                              <w:r>
                                <w:rPr>
                                  <w:color w:val="FFFFFF"/>
                                  <w:spacing w:val="-6"/>
                                  <w:sz w:val="16"/>
                                </w:rPr>
                                <w:t>better</w:t>
                              </w:r>
                              <w:r>
                                <w:rPr>
                                  <w:color w:val="FFFFFF"/>
                                  <w:spacing w:val="2"/>
                                  <w:sz w:val="16"/>
                                </w:rPr>
                                <w:t> </w:t>
                              </w:r>
                              <w:r>
                                <w:rPr>
                                  <w:color w:val="FFFFFF"/>
                                  <w:spacing w:val="-6"/>
                                  <w:sz w:val="16"/>
                                </w:rPr>
                                <w:t>than</w:t>
                              </w:r>
                              <w:r>
                                <w:rPr>
                                  <w:color w:val="FFFFFF"/>
                                  <w:spacing w:val="2"/>
                                  <w:sz w:val="16"/>
                                </w:rPr>
                                <w:t> </w:t>
                              </w:r>
                              <w:r>
                                <w:rPr>
                                  <w:color w:val="FFFFFF"/>
                                  <w:spacing w:val="-6"/>
                                  <w:sz w:val="16"/>
                                </w:rPr>
                                <w:t>delayed</w:t>
                              </w:r>
                              <w:r>
                                <w:rPr>
                                  <w:color w:val="FFFFFF"/>
                                  <w:spacing w:val="2"/>
                                  <w:sz w:val="16"/>
                                </w:rPr>
                                <w:t> </w:t>
                              </w:r>
                              <w:r>
                                <w:rPr>
                                  <w:color w:val="FFFFFF"/>
                                  <w:spacing w:val="-6"/>
                                  <w:sz w:val="16"/>
                                </w:rPr>
                                <w:t>perfection</w:t>
                              </w:r>
                            </w:p>
                            <w:p>
                              <w:pPr>
                                <w:spacing w:before="89"/>
                                <w:ind w:left="1" w:right="18" w:firstLine="0"/>
                                <w:jc w:val="center"/>
                                <w:rPr>
                                  <w:sz w:val="16"/>
                                </w:rPr>
                              </w:pPr>
                              <w:r>
                                <w:rPr>
                                  <w:color w:val="FFFFFF"/>
                                  <w:spacing w:val="-5"/>
                                  <w:sz w:val="16"/>
                                </w:rPr>
                                <w:t>Mark </w:t>
                              </w:r>
                              <w:r>
                                <w:rPr>
                                  <w:color w:val="FFFFFF"/>
                                  <w:spacing w:val="-2"/>
                                  <w:sz w:val="16"/>
                                </w:rPr>
                                <w:t>Twain</w:t>
                              </w:r>
                            </w:p>
                          </w:txbxContent>
                        </wps:txbx>
                        <wps:bodyPr wrap="square" lIns="0" tIns="0" rIns="0" bIns="0" rtlCol="0">
                          <a:noAutofit/>
                        </wps:bodyPr>
                      </wps:wsp>
                      <wps:wsp>
                        <wps:cNvPr id="14" name="Textbox 14"/>
                        <wps:cNvSpPr txBox="1"/>
                        <wps:spPr>
                          <a:xfrm>
                            <a:off x="129182" y="4822313"/>
                            <a:ext cx="2266315" cy="187960"/>
                          </a:xfrm>
                          <a:prstGeom prst="rect">
                            <a:avLst/>
                          </a:prstGeom>
                        </wps:spPr>
                        <wps:txbx>
                          <w:txbxContent>
                            <w:p>
                              <w:pPr>
                                <w:spacing w:before="1"/>
                                <w:ind w:left="0" w:right="0" w:firstLine="0"/>
                                <w:jc w:val="left"/>
                                <w:rPr>
                                  <w:b/>
                                  <w:sz w:val="24"/>
                                </w:rPr>
                              </w:pPr>
                              <w:r>
                                <w:rPr>
                                  <w:b/>
                                  <w:color w:val="FF8100"/>
                                  <w:sz w:val="24"/>
                                </w:rPr>
                                <w:t>MICHELINE</w:t>
                              </w:r>
                              <w:r>
                                <w:rPr>
                                  <w:b/>
                                  <w:color w:val="FF8100"/>
                                  <w:spacing w:val="12"/>
                                  <w:sz w:val="24"/>
                                </w:rPr>
                                <w:t> </w:t>
                              </w:r>
                              <w:r>
                                <w:rPr>
                                  <w:b/>
                                  <w:color w:val="FF8100"/>
                                  <w:sz w:val="24"/>
                                </w:rPr>
                                <w:t>NADEAU</w:t>
                              </w:r>
                              <w:r>
                                <w:rPr>
                                  <w:b/>
                                  <w:color w:val="FF8100"/>
                                  <w:spacing w:val="12"/>
                                  <w:sz w:val="24"/>
                                </w:rPr>
                                <w:t> </w:t>
                              </w:r>
                              <w:r>
                                <w:rPr>
                                  <w:b/>
                                  <w:color w:val="FF8100"/>
                                  <w:spacing w:val="-2"/>
                                  <w:sz w:val="24"/>
                                </w:rPr>
                                <w:t>FAIRBANK</w:t>
                              </w:r>
                            </w:p>
                          </w:txbxContent>
                        </wps:txbx>
                        <wps:bodyPr wrap="square" lIns="0" tIns="0" rIns="0" bIns="0" rtlCol="0">
                          <a:noAutofit/>
                        </wps:bodyPr>
                      </wps:wsp>
                      <wps:wsp>
                        <wps:cNvPr id="15" name="Textbox 15"/>
                        <wps:cNvSpPr txBox="1"/>
                        <wps:spPr>
                          <a:xfrm>
                            <a:off x="4857434" y="3859729"/>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401.766602pt;width:478.1pt;height:394.55pt;mso-position-horizontal-relative:page;mso-position-vertical-relative:paragraph;z-index:15728640" id="docshapegroup1" coordorigin="1336,-8035" coordsize="9562,7891">
                <v:rect style="position:absolute;left:1336;top:-2624;width:9562;height:2076" id="docshape2" filled="true" fillcolor="#002e6d" stroked="false">
                  <v:fill type="solid"/>
                </v:rect>
                <v:shape style="position:absolute;left:1336;top:-8036;width:2165;height:424" type="#_x0000_t75" id="docshape3" alt="Fennemore" href="https://www.fennemorelaw.com/" stroked="false">
                  <v:imagedata r:id="rId5" o:title=""/>
                </v:shape>
                <v:shape style="position:absolute;left:1336;top:-7613;width:4785;height:4989" type="#_x0000_t75" id="docshape4" alt="Michelle Fairbank bio" stroked="false">
                  <v:imagedata r:id="rId7" o:title=""/>
                </v:shape>
                <v:rect style="position:absolute;left:6121;top:-7613;width:4777;height:4989" id="docshape5" filled="true" fillcolor="#262424" stroked="false">
                  <v:fill type="solid"/>
                </v:rect>
                <v:shape style="position:absolute;left:6837;top:-5025;width:3337;height:505" id="docshape6" coordorigin="6837,-5024" coordsize="3337,505" path="m10174,-4528l6837,-4528,6837,-4520,10174,-4520,10174,-4528xm10174,-5024l6837,-5024,6837,-5016,10174,-5016,10174,-5024xe" filled="true" fillcolor="#ffffff" stroked="false">
                  <v:path arrowok="t"/>
                  <v:fill type="solid"/>
                </v:shape>
                <v:shapetype id="_x0000_t202" o:spt="202" coordsize="21600,21600" path="m,l,21600r21600,l21600,xe">
                  <v:stroke joinstyle="miter"/>
                  <v:path gradientshapeok="t" o:connecttype="rect"/>
                </v:shapetype>
                <v:shape style="position:absolute;left:7503;top:-6834;width:2029;height:2154" type="#_x0000_t202" id="docshape7" filled="false" stroked="false">
                  <v:textbox inset="0,0,0,0">
                    <w:txbxContent>
                      <w:p>
                        <w:pPr>
                          <w:spacing w:line="216" w:lineRule="auto" w:before="40"/>
                          <w:ind w:left="-1" w:right="18" w:firstLine="0"/>
                          <w:jc w:val="center"/>
                          <w:rPr>
                            <w:sz w:val="39"/>
                          </w:rPr>
                        </w:pPr>
                        <w:r>
                          <w:rPr>
                            <w:color w:val="FFFFFF"/>
                            <w:spacing w:val="-2"/>
                            <w:sz w:val="39"/>
                          </w:rPr>
                          <w:t>MICHELINE NADEAU FAIRBANK</w:t>
                        </w:r>
                      </w:p>
                      <w:p>
                        <w:pPr>
                          <w:spacing w:before="41"/>
                          <w:ind w:left="0" w:right="18" w:firstLine="0"/>
                          <w:jc w:val="center"/>
                          <w:rPr>
                            <w:sz w:val="24"/>
                          </w:rPr>
                        </w:pPr>
                        <w:r>
                          <w:rPr>
                            <w:color w:val="FFFFFF"/>
                            <w:spacing w:val="-2"/>
                            <w:sz w:val="24"/>
                          </w:rPr>
                          <w:t>Director</w:t>
                        </w:r>
                      </w:p>
                      <w:p>
                        <w:pPr>
                          <w:spacing w:before="290"/>
                          <w:ind w:left="0" w:right="18" w:firstLine="0"/>
                          <w:jc w:val="center"/>
                          <w:rPr>
                            <w:sz w:val="16"/>
                          </w:rPr>
                        </w:pPr>
                        <w:hyperlink r:id="rId8">
                          <w:r>
                            <w:rPr>
                              <w:color w:val="FFFFFF"/>
                              <w:sz w:val="16"/>
                            </w:rPr>
                            <w:t>Natural</w:t>
                          </w:r>
                          <w:r>
                            <w:rPr>
                              <w:color w:val="FFFFFF"/>
                              <w:spacing w:val="5"/>
                              <w:sz w:val="16"/>
                            </w:rPr>
                            <w:t> </w:t>
                          </w:r>
                          <w:r>
                            <w:rPr>
                              <w:color w:val="FFFFFF"/>
                              <w:spacing w:val="-2"/>
                              <w:sz w:val="16"/>
                            </w:rPr>
                            <w:t>Resources</w:t>
                          </w:r>
                        </w:hyperlink>
                      </w:p>
                    </w:txbxContent>
                  </v:textbox>
                  <w10:wrap type="none"/>
                </v:shape>
                <v:shape style="position:absolute;left:8302;top:-4253;width:431;height:200" type="#_x0000_t202" id="docshape8" filled="false" stroked="false">
                  <v:textbox inset="0,0,0,0">
                    <w:txbxContent>
                      <w:p>
                        <w:pPr>
                          <w:spacing w:before="2"/>
                          <w:ind w:left="0" w:right="0" w:firstLine="0"/>
                          <w:jc w:val="left"/>
                          <w:rPr>
                            <w:sz w:val="16"/>
                          </w:rPr>
                        </w:pPr>
                        <w:hyperlink r:id="rId9">
                          <w:r>
                            <w:rPr>
                              <w:color w:val="FFFFFF"/>
                              <w:spacing w:val="-4"/>
                              <w:sz w:val="16"/>
                            </w:rPr>
                            <w:t>Reno</w:t>
                          </w:r>
                        </w:hyperlink>
                      </w:p>
                    </w:txbxContent>
                  </v:textbox>
                  <w10:wrap type="none"/>
                </v:shape>
                <v:shape style="position:absolute;left:6977;top:-4001;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775.788.2210</w:t>
                        </w:r>
                      </w:p>
                    </w:txbxContent>
                  </v:textbox>
                  <w10:wrap type="none"/>
                </v:shape>
                <v:shape style="position:absolute;left:8817;top:-4001;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775.788.1177</w:t>
                        </w:r>
                      </w:p>
                    </w:txbxContent>
                  </v:textbox>
                  <w10:wrap type="none"/>
                </v:shape>
                <v:shape style="position:absolute;left:7255;top:-3667;width:2524;height:200" type="#_x0000_t202" id="docshape11" filled="false" stroked="false">
                  <v:textbox inset="0,0,0,0">
                    <w:txbxContent>
                      <w:p>
                        <w:pPr>
                          <w:spacing w:before="2"/>
                          <w:ind w:left="0" w:right="0" w:firstLine="0"/>
                          <w:jc w:val="left"/>
                          <w:rPr>
                            <w:sz w:val="16"/>
                          </w:rPr>
                        </w:pPr>
                        <w:hyperlink r:id="rId10">
                          <w:r>
                            <w:rPr>
                              <w:color w:val="FFFFFF"/>
                              <w:spacing w:val="-2"/>
                              <w:sz w:val="16"/>
                            </w:rPr>
                            <w:t>mfairbank@fennemorelaw.com</w:t>
                          </w:r>
                        </w:hyperlink>
                      </w:p>
                    </w:txbxContent>
                  </v:textbox>
                  <w10:wrap type="none"/>
                </v:shape>
                <v:shape style="position:absolute;left:2548;top:-1958;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3937;top:-1690;width:4385;height:485" type="#_x0000_t202" id="docshape13" filled="false" stroked="false">
                  <v:textbox inset="0,0,0,0">
                    <w:txbxContent>
                      <w:p>
                        <w:pPr>
                          <w:spacing w:before="2"/>
                          <w:ind w:left="0" w:right="18" w:firstLine="0"/>
                          <w:jc w:val="center"/>
                          <w:rPr>
                            <w:sz w:val="16"/>
                          </w:rPr>
                        </w:pPr>
                        <w:r>
                          <w:rPr>
                            <w:color w:val="FFFFFF"/>
                            <w:spacing w:val="-6"/>
                            <w:sz w:val="16"/>
                          </w:rPr>
                          <w:t>Continuous</w:t>
                        </w:r>
                        <w:r>
                          <w:rPr>
                            <w:color w:val="FFFFFF"/>
                            <w:spacing w:val="1"/>
                            <w:sz w:val="16"/>
                          </w:rPr>
                          <w:t> </w:t>
                        </w:r>
                        <w:r>
                          <w:rPr>
                            <w:color w:val="FFFFFF"/>
                            <w:spacing w:val="-6"/>
                            <w:sz w:val="16"/>
                          </w:rPr>
                          <w:t>improvement</w:t>
                        </w:r>
                        <w:r>
                          <w:rPr>
                            <w:color w:val="FFFFFF"/>
                            <w:spacing w:val="2"/>
                            <w:sz w:val="16"/>
                          </w:rPr>
                          <w:t> </w:t>
                        </w:r>
                        <w:r>
                          <w:rPr>
                            <w:color w:val="FFFFFF"/>
                            <w:spacing w:val="-6"/>
                            <w:sz w:val="16"/>
                          </w:rPr>
                          <w:t>is</w:t>
                        </w:r>
                        <w:r>
                          <w:rPr>
                            <w:color w:val="FFFFFF"/>
                            <w:spacing w:val="2"/>
                            <w:sz w:val="16"/>
                          </w:rPr>
                          <w:t> </w:t>
                        </w:r>
                        <w:r>
                          <w:rPr>
                            <w:color w:val="FFFFFF"/>
                            <w:spacing w:val="-6"/>
                            <w:sz w:val="16"/>
                          </w:rPr>
                          <w:t>better</w:t>
                        </w:r>
                        <w:r>
                          <w:rPr>
                            <w:color w:val="FFFFFF"/>
                            <w:spacing w:val="2"/>
                            <w:sz w:val="16"/>
                          </w:rPr>
                          <w:t> </w:t>
                        </w:r>
                        <w:r>
                          <w:rPr>
                            <w:color w:val="FFFFFF"/>
                            <w:spacing w:val="-6"/>
                            <w:sz w:val="16"/>
                          </w:rPr>
                          <w:t>than</w:t>
                        </w:r>
                        <w:r>
                          <w:rPr>
                            <w:color w:val="FFFFFF"/>
                            <w:spacing w:val="2"/>
                            <w:sz w:val="16"/>
                          </w:rPr>
                          <w:t> </w:t>
                        </w:r>
                        <w:r>
                          <w:rPr>
                            <w:color w:val="FFFFFF"/>
                            <w:spacing w:val="-6"/>
                            <w:sz w:val="16"/>
                          </w:rPr>
                          <w:t>delayed</w:t>
                        </w:r>
                        <w:r>
                          <w:rPr>
                            <w:color w:val="FFFFFF"/>
                            <w:spacing w:val="2"/>
                            <w:sz w:val="16"/>
                          </w:rPr>
                          <w:t> </w:t>
                        </w:r>
                        <w:r>
                          <w:rPr>
                            <w:color w:val="FFFFFF"/>
                            <w:spacing w:val="-6"/>
                            <w:sz w:val="16"/>
                          </w:rPr>
                          <w:t>perfection</w:t>
                        </w:r>
                      </w:p>
                      <w:p>
                        <w:pPr>
                          <w:spacing w:before="89"/>
                          <w:ind w:left="1" w:right="18" w:firstLine="0"/>
                          <w:jc w:val="center"/>
                          <w:rPr>
                            <w:sz w:val="16"/>
                          </w:rPr>
                        </w:pPr>
                        <w:r>
                          <w:rPr>
                            <w:color w:val="FFFFFF"/>
                            <w:spacing w:val="-5"/>
                            <w:sz w:val="16"/>
                          </w:rPr>
                          <w:t>Mark </w:t>
                        </w:r>
                        <w:r>
                          <w:rPr>
                            <w:color w:val="FFFFFF"/>
                            <w:spacing w:val="-2"/>
                            <w:sz w:val="16"/>
                          </w:rPr>
                          <w:t>Twain</w:t>
                        </w:r>
                      </w:p>
                    </w:txbxContent>
                  </v:textbox>
                  <w10:wrap type="none"/>
                </v:shape>
                <v:shape style="position:absolute;left:1539;top:-442;width:3569;height:296" type="#_x0000_t202" id="docshape14" filled="false" stroked="false">
                  <v:textbox inset="0,0,0,0">
                    <w:txbxContent>
                      <w:p>
                        <w:pPr>
                          <w:spacing w:before="1"/>
                          <w:ind w:left="0" w:right="0" w:firstLine="0"/>
                          <w:jc w:val="left"/>
                          <w:rPr>
                            <w:b/>
                            <w:sz w:val="24"/>
                          </w:rPr>
                        </w:pPr>
                        <w:r>
                          <w:rPr>
                            <w:b/>
                            <w:color w:val="FF8100"/>
                            <w:sz w:val="24"/>
                          </w:rPr>
                          <w:t>MICHELINE</w:t>
                        </w:r>
                        <w:r>
                          <w:rPr>
                            <w:b/>
                            <w:color w:val="FF8100"/>
                            <w:spacing w:val="12"/>
                            <w:sz w:val="24"/>
                          </w:rPr>
                          <w:t> </w:t>
                        </w:r>
                        <w:r>
                          <w:rPr>
                            <w:b/>
                            <w:color w:val="FF8100"/>
                            <w:sz w:val="24"/>
                          </w:rPr>
                          <w:t>NADEAU</w:t>
                        </w:r>
                        <w:r>
                          <w:rPr>
                            <w:b/>
                            <w:color w:val="FF8100"/>
                            <w:spacing w:val="12"/>
                            <w:sz w:val="24"/>
                          </w:rPr>
                          <w:t> </w:t>
                        </w:r>
                        <w:r>
                          <w:rPr>
                            <w:b/>
                            <w:color w:val="FF8100"/>
                            <w:spacing w:val="-2"/>
                            <w:sz w:val="24"/>
                          </w:rPr>
                          <w:t>FAIRBANK</w:t>
                        </w:r>
                      </w:p>
                    </w:txbxContent>
                  </v:textbox>
                  <w10:wrap type="none"/>
                </v:shape>
                <v:shape style="position:absolute;left:8985;top:-1958;width:725;height:1786" type="#_x0000_t202" id="docshape15"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Micheline Nadeau Fairbank is a Nevada natural resources and water rights attorney who helps</w:t>
      </w:r>
      <w:r>
        <w:rPr>
          <w:color w:val="6E6158"/>
          <w:spacing w:val="40"/>
        </w:rPr>
        <w:t> </w:t>
      </w:r>
      <w:r>
        <w:rPr>
          <w:color w:val="6E6158"/>
        </w:rPr>
        <w:t>clients evaluate water availability, pursue environmental approvals, and respond to agency</w:t>
      </w:r>
      <w:r>
        <w:rPr>
          <w:color w:val="6E6158"/>
          <w:spacing w:val="40"/>
        </w:rPr>
        <w:t> </w:t>
      </w:r>
      <w:r>
        <w:rPr>
          <w:color w:val="6E6158"/>
        </w:rPr>
        <w:t>actions that could delay projects or disrupt operations. She combines senior experience</w:t>
      </w:r>
      <w:r>
        <w:rPr>
          <w:color w:val="6E6158"/>
          <w:spacing w:val="40"/>
        </w:rPr>
        <w:t> </w:t>
      </w:r>
      <w:r>
        <w:rPr>
          <w:color w:val="6E6158"/>
        </w:rPr>
        <w:t>administering Nevada water law, representing Nevada’s environmental regulator, and litigating</w:t>
      </w:r>
      <w:r>
        <w:rPr>
          <w:color w:val="6E6158"/>
          <w:spacing w:val="40"/>
        </w:rPr>
        <w:t> </w:t>
      </w:r>
      <w:r>
        <w:rPr>
          <w:color w:val="6E6158"/>
        </w:rPr>
        <w:t>natural resources disputes. As Deputy Administrator of the Nevada Division of Water Resources,</w:t>
      </w:r>
      <w:r>
        <w:rPr>
          <w:color w:val="6E6158"/>
          <w:spacing w:val="40"/>
        </w:rPr>
        <w:t> </w:t>
      </w:r>
      <w:r>
        <w:rPr>
          <w:color w:val="6E6158"/>
        </w:rPr>
        <w:t>Micheline</w:t>
      </w:r>
      <w:r>
        <w:rPr>
          <w:color w:val="6E6158"/>
          <w:spacing w:val="32"/>
        </w:rPr>
        <w:t> </w:t>
      </w:r>
      <w:r>
        <w:rPr>
          <w:color w:val="6E6158"/>
        </w:rPr>
        <w:t>worked</w:t>
      </w:r>
      <w:r>
        <w:rPr>
          <w:color w:val="6E6158"/>
          <w:spacing w:val="32"/>
        </w:rPr>
        <w:t> </w:t>
      </w:r>
      <w:r>
        <w:rPr>
          <w:color w:val="6E6158"/>
        </w:rPr>
        <w:t>closely</w:t>
      </w:r>
      <w:r>
        <w:rPr>
          <w:color w:val="6E6158"/>
          <w:spacing w:val="32"/>
        </w:rPr>
        <w:t> </w:t>
      </w:r>
      <w:r>
        <w:rPr>
          <w:color w:val="6E6158"/>
        </w:rPr>
        <w:t>with</w:t>
      </w:r>
      <w:r>
        <w:rPr>
          <w:color w:val="6E6158"/>
          <w:spacing w:val="32"/>
        </w:rPr>
        <w:t> </w:t>
      </w:r>
      <w:r>
        <w:rPr>
          <w:color w:val="6E6158"/>
        </w:rPr>
        <w:t>the</w:t>
      </w:r>
      <w:r>
        <w:rPr>
          <w:color w:val="6E6158"/>
          <w:spacing w:val="32"/>
        </w:rPr>
        <w:t> </w:t>
      </w:r>
      <w:r>
        <w:rPr>
          <w:color w:val="6E6158"/>
        </w:rPr>
        <w:t>Nevada</w:t>
      </w:r>
      <w:r>
        <w:rPr>
          <w:color w:val="6E6158"/>
          <w:spacing w:val="32"/>
        </w:rPr>
        <w:t> </w:t>
      </w:r>
      <w:r>
        <w:rPr>
          <w:color w:val="6E6158"/>
        </w:rPr>
        <w:t>State</w:t>
      </w:r>
      <w:r>
        <w:rPr>
          <w:color w:val="6E6158"/>
          <w:spacing w:val="32"/>
        </w:rPr>
        <w:t> </w:t>
      </w:r>
      <w:r>
        <w:rPr>
          <w:color w:val="6E6158"/>
        </w:rPr>
        <w:t>Engineer</w:t>
      </w:r>
      <w:r>
        <w:rPr>
          <w:color w:val="6E6158"/>
          <w:spacing w:val="32"/>
        </w:rPr>
        <w:t> </w:t>
      </w:r>
      <w:r>
        <w:rPr>
          <w:color w:val="6E6158"/>
        </w:rPr>
        <w:t>to</w:t>
      </w:r>
      <w:r>
        <w:rPr>
          <w:color w:val="6E6158"/>
          <w:spacing w:val="32"/>
        </w:rPr>
        <w:t> </w:t>
      </w:r>
      <w:r>
        <w:rPr>
          <w:color w:val="6E6158"/>
        </w:rPr>
        <w:t>administer</w:t>
      </w:r>
      <w:r>
        <w:rPr>
          <w:color w:val="6E6158"/>
          <w:spacing w:val="32"/>
        </w:rPr>
        <w:t> </w:t>
      </w:r>
      <w:r>
        <w:rPr>
          <w:color w:val="6E6158"/>
        </w:rPr>
        <w:t>Nevada’s</w:t>
      </w:r>
      <w:r>
        <w:rPr>
          <w:color w:val="6E6158"/>
          <w:spacing w:val="32"/>
        </w:rPr>
        <w:t> </w:t>
      </w:r>
      <w:r>
        <w:rPr>
          <w:color w:val="6E6158"/>
        </w:rPr>
        <w:t>water</w:t>
      </w:r>
      <w:r>
        <w:rPr>
          <w:color w:val="6E6158"/>
          <w:spacing w:val="32"/>
        </w:rPr>
        <w:t> </w:t>
      </w:r>
      <w:r>
        <w:rPr>
          <w:color w:val="6E6158"/>
        </w:rPr>
        <w:t>laws and oversee the allocation and management of the state’s water resources. She also</w:t>
      </w:r>
      <w:r>
        <w:rPr>
          <w:color w:val="6E6158"/>
          <w:spacing w:val="80"/>
        </w:rPr>
        <w:t> </w:t>
      </w:r>
      <w:r>
        <w:rPr>
          <w:color w:val="6E6158"/>
        </w:rPr>
        <w:t>represented the Nevada Division of Environmental Protection in permitting, compliance, and</w:t>
      </w:r>
      <w:r>
        <w:rPr>
          <w:color w:val="6E6158"/>
          <w:spacing w:val="40"/>
        </w:rPr>
        <w:t> </w:t>
      </w:r>
      <w:r>
        <w:rPr>
          <w:color w:val="6E6158"/>
        </w:rPr>
        <w:t>enforcement matters involving hazardous waste, CERCLA, mine reclamation, water quality, </w:t>
      </w:r>
      <w:r>
        <w:rPr>
          <w:color w:val="6E6158"/>
        </w:rPr>
        <w:t>and</w:t>
      </w:r>
      <w:r>
        <w:rPr>
          <w:color w:val="6E6158"/>
          <w:spacing w:val="40"/>
        </w:rPr>
        <w:t> </w:t>
      </w:r>
      <w:r>
        <w:rPr>
          <w:color w:val="6E6158"/>
        </w:rPr>
        <w:t>drinking water.</w:t>
      </w:r>
    </w:p>
    <w:p>
      <w:pPr>
        <w:pStyle w:val="BodyText"/>
        <w:spacing w:line="292" w:lineRule="auto" w:before="203"/>
        <w:ind w:left="99" w:right="283"/>
      </w:pPr>
      <w:r>
        <w:rPr>
          <w:color w:val="6E6158"/>
        </w:rPr>
        <w:t>Born and raised in Northern Nevada and based in Fennemore’s Reno office, Micheline advises</w:t>
      </w:r>
      <w:r>
        <w:rPr>
          <w:color w:val="6E6158"/>
          <w:spacing w:val="40"/>
        </w:rPr>
        <w:t> </w:t>
      </w:r>
      <w:r>
        <w:rPr>
          <w:color w:val="6E6158"/>
        </w:rPr>
        <w:t>private</w:t>
      </w:r>
      <w:r>
        <w:rPr>
          <w:color w:val="6E6158"/>
          <w:spacing w:val="31"/>
        </w:rPr>
        <w:t> </w:t>
      </w:r>
      <w:r>
        <w:rPr>
          <w:color w:val="6E6158"/>
        </w:rPr>
        <w:t>and</w:t>
      </w:r>
      <w:r>
        <w:rPr>
          <w:color w:val="6E6158"/>
          <w:spacing w:val="31"/>
        </w:rPr>
        <w:t> </w:t>
      </w:r>
      <w:r>
        <w:rPr>
          <w:color w:val="6E6158"/>
        </w:rPr>
        <w:t>public</w:t>
      </w:r>
      <w:r>
        <w:rPr>
          <w:color w:val="6E6158"/>
          <w:spacing w:val="31"/>
        </w:rPr>
        <w:t> </w:t>
      </w:r>
      <w:r>
        <w:rPr>
          <w:color w:val="6E6158"/>
        </w:rPr>
        <w:t>entities</w:t>
      </w:r>
      <w:r>
        <w:rPr>
          <w:color w:val="6E6158"/>
          <w:spacing w:val="31"/>
        </w:rPr>
        <w:t> </w:t>
      </w:r>
      <w:r>
        <w:rPr>
          <w:color w:val="6E6158"/>
        </w:rPr>
        <w:t>throughout</w:t>
      </w:r>
      <w:r>
        <w:rPr>
          <w:color w:val="6E6158"/>
          <w:spacing w:val="31"/>
        </w:rPr>
        <w:t> </w:t>
      </w:r>
      <w:r>
        <w:rPr>
          <w:color w:val="6E6158"/>
        </w:rPr>
        <w:t>Nevada</w:t>
      </w:r>
      <w:r>
        <w:rPr>
          <w:color w:val="6E6158"/>
          <w:spacing w:val="31"/>
        </w:rPr>
        <w:t> </w:t>
      </w:r>
      <w:r>
        <w:rPr>
          <w:color w:val="6E6158"/>
        </w:rPr>
        <w:t>and</w:t>
      </w:r>
      <w:r>
        <w:rPr>
          <w:color w:val="6E6158"/>
          <w:spacing w:val="31"/>
        </w:rPr>
        <w:t> </w:t>
      </w:r>
      <w:r>
        <w:rPr>
          <w:color w:val="6E6158"/>
        </w:rPr>
        <w:t>the</w:t>
      </w:r>
      <w:r>
        <w:rPr>
          <w:color w:val="6E6158"/>
          <w:spacing w:val="31"/>
        </w:rPr>
        <w:t> </w:t>
      </w:r>
      <w:r>
        <w:rPr>
          <w:color w:val="6E6158"/>
        </w:rPr>
        <w:t>West.</w:t>
      </w:r>
      <w:r>
        <w:rPr>
          <w:color w:val="6E6158"/>
          <w:spacing w:val="31"/>
        </w:rPr>
        <w:t> </w:t>
      </w:r>
      <w:r>
        <w:rPr>
          <w:color w:val="6E6158"/>
        </w:rPr>
        <w:t>Her</w:t>
      </w:r>
      <w:r>
        <w:rPr>
          <w:color w:val="6E6158"/>
          <w:spacing w:val="31"/>
        </w:rPr>
        <w:t> </w:t>
      </w:r>
      <w:r>
        <w:rPr>
          <w:color w:val="6E6158"/>
        </w:rPr>
        <w:t>background</w:t>
      </w:r>
      <w:r>
        <w:rPr>
          <w:color w:val="6E6158"/>
          <w:spacing w:val="31"/>
        </w:rPr>
        <w:t> </w:t>
      </w:r>
      <w:r>
        <w:rPr>
          <w:color w:val="6E6158"/>
        </w:rPr>
        <w:t>is</w:t>
      </w:r>
      <w:r>
        <w:rPr>
          <w:color w:val="6E6158"/>
          <w:spacing w:val="31"/>
        </w:rPr>
        <w:t> </w:t>
      </w:r>
      <w:r>
        <w:rPr>
          <w:color w:val="6E6158"/>
        </w:rPr>
        <w:t>especially</w:t>
      </w:r>
    </w:p>
    <w:p>
      <w:pPr>
        <w:pStyle w:val="BodyText"/>
        <w:spacing w:line="295" w:lineRule="auto" w:before="1"/>
        <w:ind w:left="99" w:right="283"/>
      </w:pPr>
      <w:r>
        <w:rPr>
          <w:color w:val="6E6158"/>
        </w:rPr>
        <w:t>relevant when a project depends on water or environmental approvals, an investigation creates</w:t>
      </w:r>
      <w:r>
        <w:rPr>
          <w:color w:val="6E6158"/>
          <w:spacing w:val="40"/>
        </w:rPr>
        <w:t> </w:t>
      </w:r>
      <w:r>
        <w:rPr>
          <w:color w:val="6E6158"/>
        </w:rPr>
        <w:t>potential</w:t>
      </w:r>
      <w:r>
        <w:rPr>
          <w:color w:val="6E6158"/>
          <w:spacing w:val="32"/>
        </w:rPr>
        <w:t> </w:t>
      </w:r>
      <w:r>
        <w:rPr>
          <w:color w:val="6E6158"/>
        </w:rPr>
        <w:t>exposure,</w:t>
      </w:r>
      <w:r>
        <w:rPr>
          <w:color w:val="6E6158"/>
          <w:spacing w:val="32"/>
        </w:rPr>
        <w:t> </w:t>
      </w:r>
      <w:r>
        <w:rPr>
          <w:color w:val="6E6158"/>
        </w:rPr>
        <w:t>or</w:t>
      </w:r>
      <w:r>
        <w:rPr>
          <w:color w:val="6E6158"/>
          <w:spacing w:val="32"/>
        </w:rPr>
        <w:t> </w:t>
      </w:r>
      <w:r>
        <w:rPr>
          <w:color w:val="6E6158"/>
        </w:rPr>
        <w:t>a</w:t>
      </w:r>
      <w:r>
        <w:rPr>
          <w:color w:val="6E6158"/>
          <w:spacing w:val="32"/>
        </w:rPr>
        <w:t> </w:t>
      </w:r>
      <w:r>
        <w:rPr>
          <w:color w:val="6E6158"/>
        </w:rPr>
        <w:t>water</w:t>
      </w:r>
      <w:r>
        <w:rPr>
          <w:color w:val="6E6158"/>
          <w:spacing w:val="32"/>
        </w:rPr>
        <w:t> </w:t>
      </w:r>
      <w:r>
        <w:rPr>
          <w:color w:val="6E6158"/>
        </w:rPr>
        <w:t>right,</w:t>
      </w:r>
      <w:r>
        <w:rPr>
          <w:color w:val="6E6158"/>
          <w:spacing w:val="32"/>
        </w:rPr>
        <w:t> </w:t>
      </w:r>
      <w:r>
        <w:rPr>
          <w:color w:val="6E6158"/>
        </w:rPr>
        <w:t>permit,</w:t>
      </w:r>
      <w:r>
        <w:rPr>
          <w:color w:val="6E6158"/>
          <w:spacing w:val="32"/>
        </w:rPr>
        <w:t> </w:t>
      </w:r>
      <w:r>
        <w:rPr>
          <w:color w:val="6E6158"/>
        </w:rPr>
        <w:t>or</w:t>
      </w:r>
      <w:r>
        <w:rPr>
          <w:color w:val="6E6158"/>
          <w:spacing w:val="32"/>
        </w:rPr>
        <w:t> </w:t>
      </w:r>
      <w:r>
        <w:rPr>
          <w:color w:val="6E6158"/>
        </w:rPr>
        <w:t>agency</w:t>
      </w:r>
      <w:r>
        <w:rPr>
          <w:color w:val="6E6158"/>
          <w:spacing w:val="32"/>
        </w:rPr>
        <w:t> </w:t>
      </w:r>
      <w:r>
        <w:rPr>
          <w:color w:val="6E6158"/>
        </w:rPr>
        <w:t>decision</w:t>
      </w:r>
      <w:r>
        <w:rPr>
          <w:color w:val="6E6158"/>
          <w:spacing w:val="32"/>
        </w:rPr>
        <w:t> </w:t>
      </w:r>
      <w:r>
        <w:rPr>
          <w:color w:val="6E6158"/>
        </w:rPr>
        <w:t>becomes</w:t>
      </w:r>
      <w:r>
        <w:rPr>
          <w:color w:val="6E6158"/>
          <w:spacing w:val="32"/>
        </w:rPr>
        <w:t> </w:t>
      </w:r>
      <w:r>
        <w:rPr>
          <w:color w:val="6E6158"/>
        </w:rPr>
        <w:t>contested.</w:t>
      </w:r>
      <w:r>
        <w:rPr>
          <w:color w:val="6E6158"/>
          <w:spacing w:val="32"/>
        </w:rPr>
        <w:t> </w:t>
      </w:r>
      <w:r>
        <w:rPr>
          <w:color w:val="6E6158"/>
        </w:rPr>
        <w:t>Her practice addresses issues affecting mining, lithium and critical-minerals development, </w:t>
      </w:r>
      <w:r>
        <w:rPr>
          <w:color w:val="6E6158"/>
        </w:rPr>
        <w:t>renewable</w:t>
      </w:r>
      <w:r>
        <w:rPr>
          <w:color w:val="6E6158"/>
          <w:spacing w:val="40"/>
        </w:rPr>
        <w:t> </w:t>
      </w:r>
      <w:r>
        <w:rPr>
          <w:color w:val="6E6158"/>
        </w:rPr>
        <w:t>energy</w:t>
      </w:r>
      <w:r>
        <w:rPr>
          <w:color w:val="6E6158"/>
          <w:spacing w:val="37"/>
        </w:rPr>
        <w:t> </w:t>
      </w:r>
      <w:r>
        <w:rPr>
          <w:color w:val="6E6158"/>
        </w:rPr>
        <w:t>and</w:t>
      </w:r>
      <w:r>
        <w:rPr>
          <w:color w:val="6E6158"/>
          <w:spacing w:val="37"/>
        </w:rPr>
        <w:t> </w:t>
      </w:r>
      <w:r>
        <w:rPr>
          <w:color w:val="6E6158"/>
        </w:rPr>
        <w:t>solar</w:t>
      </w:r>
      <w:r>
        <w:rPr>
          <w:color w:val="6E6158"/>
          <w:spacing w:val="37"/>
        </w:rPr>
        <w:t> </w:t>
      </w:r>
      <w:r>
        <w:rPr>
          <w:color w:val="6E6158"/>
        </w:rPr>
        <w:t>projects,</w:t>
      </w:r>
      <w:r>
        <w:rPr>
          <w:color w:val="6E6158"/>
          <w:spacing w:val="37"/>
        </w:rPr>
        <w:t> </w:t>
      </w:r>
      <w:r>
        <w:rPr>
          <w:color w:val="6E6158"/>
        </w:rPr>
        <w:t>data</w:t>
      </w:r>
      <w:r>
        <w:rPr>
          <w:color w:val="6E6158"/>
          <w:spacing w:val="37"/>
        </w:rPr>
        <w:t> </w:t>
      </w:r>
      <w:r>
        <w:rPr>
          <w:color w:val="6E6158"/>
        </w:rPr>
        <w:t>centers,</w:t>
      </w:r>
      <w:r>
        <w:rPr>
          <w:color w:val="6E6158"/>
          <w:spacing w:val="37"/>
        </w:rPr>
        <w:t> </w:t>
      </w:r>
      <w:r>
        <w:rPr>
          <w:color w:val="6E6158"/>
        </w:rPr>
        <w:t>utilities,</w:t>
      </w:r>
      <w:r>
        <w:rPr>
          <w:color w:val="6E6158"/>
          <w:spacing w:val="37"/>
        </w:rPr>
        <w:t> </w:t>
      </w:r>
      <w:r>
        <w:rPr>
          <w:color w:val="6E6158"/>
        </w:rPr>
        <w:t>agriculture,</w:t>
      </w:r>
      <w:r>
        <w:rPr>
          <w:color w:val="6E6158"/>
          <w:spacing w:val="37"/>
        </w:rPr>
        <w:t> </w:t>
      </w:r>
      <w:r>
        <w:rPr>
          <w:color w:val="6E6158"/>
        </w:rPr>
        <w:t>industrial</w:t>
      </w:r>
      <w:r>
        <w:rPr>
          <w:color w:val="6E6158"/>
          <w:spacing w:val="37"/>
        </w:rPr>
        <w:t> </w:t>
      </w:r>
      <w:r>
        <w:rPr>
          <w:color w:val="6E6158"/>
        </w:rPr>
        <w:t>and</w:t>
      </w:r>
      <w:r>
        <w:rPr>
          <w:color w:val="6E6158"/>
          <w:spacing w:val="37"/>
        </w:rPr>
        <w:t> </w:t>
      </w:r>
      <w:r>
        <w:rPr>
          <w:color w:val="6E6158"/>
        </w:rPr>
        <w:t>commercial</w:t>
      </w:r>
    </w:p>
    <w:p>
      <w:pPr>
        <w:pStyle w:val="BodyText"/>
        <w:spacing w:before="1"/>
        <w:ind w:left="99"/>
      </w:pPr>
      <w:r>
        <w:rPr>
          <w:color w:val="6E6158"/>
        </w:rPr>
        <w:t>development,</w:t>
      </w:r>
      <w:r>
        <w:rPr>
          <w:color w:val="6E6158"/>
          <w:spacing w:val="17"/>
        </w:rPr>
        <w:t> </w:t>
      </w:r>
      <w:r>
        <w:rPr>
          <w:color w:val="6E6158"/>
        </w:rPr>
        <w:t>municipalities,</w:t>
      </w:r>
      <w:r>
        <w:rPr>
          <w:color w:val="6E6158"/>
          <w:spacing w:val="18"/>
        </w:rPr>
        <w:t> </w:t>
      </w:r>
      <w:r>
        <w:rPr>
          <w:color w:val="6E6158"/>
        </w:rPr>
        <w:t>water</w:t>
      </w:r>
      <w:r>
        <w:rPr>
          <w:color w:val="6E6158"/>
          <w:spacing w:val="18"/>
        </w:rPr>
        <w:t> </w:t>
      </w:r>
      <w:r>
        <w:rPr>
          <w:color w:val="6E6158"/>
        </w:rPr>
        <w:t>districts,</w:t>
      </w:r>
      <w:r>
        <w:rPr>
          <w:color w:val="6E6158"/>
          <w:spacing w:val="17"/>
        </w:rPr>
        <w:t> </w:t>
      </w:r>
      <w:r>
        <w:rPr>
          <w:color w:val="6E6158"/>
        </w:rPr>
        <w:t>ranches,</w:t>
      </w:r>
      <w:r>
        <w:rPr>
          <w:color w:val="6E6158"/>
          <w:spacing w:val="18"/>
        </w:rPr>
        <w:t> </w:t>
      </w:r>
      <w:r>
        <w:rPr>
          <w:color w:val="6E6158"/>
        </w:rPr>
        <w:t>and</w:t>
      </w:r>
      <w:r>
        <w:rPr>
          <w:color w:val="6E6158"/>
          <w:spacing w:val="18"/>
        </w:rPr>
        <w:t> </w:t>
      </w:r>
      <w:r>
        <w:rPr>
          <w:color w:val="6E6158"/>
          <w:spacing w:val="-2"/>
        </w:rPr>
        <w:t>landowners.</w:t>
      </w:r>
    </w:p>
    <w:p>
      <w:pPr>
        <w:pStyle w:val="BodyText"/>
        <w:spacing w:before="22"/>
      </w:pPr>
    </w:p>
    <w:p>
      <w:pPr>
        <w:pStyle w:val="Heading2"/>
      </w:pPr>
      <w:r>
        <w:rPr>
          <w:color w:val="6E6158"/>
        </w:rPr>
        <w:t>Water</w:t>
      </w:r>
      <w:r>
        <w:rPr>
          <w:color w:val="6E6158"/>
          <w:spacing w:val="10"/>
        </w:rPr>
        <w:t> </w:t>
      </w:r>
      <w:r>
        <w:rPr>
          <w:color w:val="6E6158"/>
        </w:rPr>
        <w:t>Rights</w:t>
      </w:r>
      <w:r>
        <w:rPr>
          <w:color w:val="6E6158"/>
          <w:spacing w:val="11"/>
        </w:rPr>
        <w:t> </w:t>
      </w:r>
      <w:r>
        <w:rPr>
          <w:color w:val="6E6158"/>
        </w:rPr>
        <w:t>and</w:t>
      </w:r>
      <w:r>
        <w:rPr>
          <w:color w:val="6E6158"/>
          <w:spacing w:val="11"/>
        </w:rPr>
        <w:t> </w:t>
      </w:r>
      <w:r>
        <w:rPr>
          <w:color w:val="6E6158"/>
        </w:rPr>
        <w:t>Water</w:t>
      </w:r>
      <w:r>
        <w:rPr>
          <w:color w:val="6E6158"/>
          <w:spacing w:val="11"/>
        </w:rPr>
        <w:t> </w:t>
      </w:r>
      <w:r>
        <w:rPr>
          <w:color w:val="6E6158"/>
          <w:spacing w:val="-2"/>
        </w:rPr>
        <w:t>Permitting</w:t>
      </w:r>
    </w:p>
    <w:p>
      <w:pPr>
        <w:pStyle w:val="BodyText"/>
        <w:spacing w:before="14"/>
        <w:rPr>
          <w:b/>
        </w:rPr>
      </w:pPr>
    </w:p>
    <w:p>
      <w:pPr>
        <w:pStyle w:val="BodyText"/>
        <w:ind w:left="99"/>
      </w:pPr>
      <w:r>
        <w:rPr>
          <w:color w:val="6E6158"/>
        </w:rPr>
        <w:t>Micheline</w:t>
      </w:r>
      <w:r>
        <w:rPr>
          <w:color w:val="6E6158"/>
          <w:spacing w:val="14"/>
        </w:rPr>
        <w:t> </w:t>
      </w:r>
      <w:r>
        <w:rPr>
          <w:color w:val="6E6158"/>
        </w:rPr>
        <w:t>advises</w:t>
      </w:r>
      <w:r>
        <w:rPr>
          <w:color w:val="6E6158"/>
          <w:spacing w:val="14"/>
        </w:rPr>
        <w:t> </w:t>
      </w:r>
      <w:r>
        <w:rPr>
          <w:color w:val="6E6158"/>
        </w:rPr>
        <w:t>on</w:t>
      </w:r>
      <w:r>
        <w:rPr>
          <w:color w:val="6E6158"/>
          <w:spacing w:val="15"/>
        </w:rPr>
        <w:t> </w:t>
      </w:r>
      <w:r>
        <w:rPr>
          <w:color w:val="6E6158"/>
        </w:rPr>
        <w:t>groundwater</w:t>
      </w:r>
      <w:r>
        <w:rPr>
          <w:color w:val="6E6158"/>
          <w:spacing w:val="14"/>
        </w:rPr>
        <w:t> </w:t>
      </w:r>
      <w:r>
        <w:rPr>
          <w:color w:val="6E6158"/>
        </w:rPr>
        <w:t>and</w:t>
      </w:r>
      <w:r>
        <w:rPr>
          <w:color w:val="6E6158"/>
          <w:spacing w:val="14"/>
        </w:rPr>
        <w:t> </w:t>
      </w:r>
      <w:r>
        <w:rPr>
          <w:color w:val="6E6158"/>
        </w:rPr>
        <w:t>surface</w:t>
      </w:r>
      <w:r>
        <w:rPr>
          <w:color w:val="6E6158"/>
          <w:spacing w:val="15"/>
        </w:rPr>
        <w:t> </w:t>
      </w:r>
      <w:r>
        <w:rPr>
          <w:color w:val="6E6158"/>
        </w:rPr>
        <w:t>water</w:t>
      </w:r>
      <w:r>
        <w:rPr>
          <w:color w:val="6E6158"/>
          <w:spacing w:val="14"/>
        </w:rPr>
        <w:t> </w:t>
      </w:r>
      <w:r>
        <w:rPr>
          <w:color w:val="6E6158"/>
        </w:rPr>
        <w:t>rights,</w:t>
      </w:r>
      <w:r>
        <w:rPr>
          <w:color w:val="6E6158"/>
          <w:spacing w:val="14"/>
        </w:rPr>
        <w:t> </w:t>
      </w:r>
      <w:r>
        <w:rPr>
          <w:color w:val="6E6158"/>
        </w:rPr>
        <w:t>water</w:t>
      </w:r>
      <w:r>
        <w:rPr>
          <w:color w:val="6E6158"/>
          <w:spacing w:val="15"/>
        </w:rPr>
        <w:t> </w:t>
      </w:r>
      <w:r>
        <w:rPr>
          <w:color w:val="6E6158"/>
        </w:rPr>
        <w:t>rights</w:t>
      </w:r>
      <w:r>
        <w:rPr>
          <w:color w:val="6E6158"/>
          <w:spacing w:val="14"/>
        </w:rPr>
        <w:t> </w:t>
      </w:r>
      <w:r>
        <w:rPr>
          <w:color w:val="6E6158"/>
        </w:rPr>
        <w:t>transfers,</w:t>
      </w:r>
      <w:r>
        <w:rPr>
          <w:color w:val="6E6158"/>
          <w:spacing w:val="14"/>
        </w:rPr>
        <w:t> </w:t>
      </w:r>
      <w:r>
        <w:rPr>
          <w:color w:val="6E6158"/>
          <w:spacing w:val="-2"/>
        </w:rPr>
        <w:t>change</w:t>
      </w:r>
    </w:p>
    <w:p>
      <w:pPr>
        <w:pStyle w:val="BodyText"/>
        <w:spacing w:line="292" w:lineRule="auto" w:before="52"/>
        <w:ind w:left="99" w:right="106"/>
      </w:pPr>
      <w:r>
        <w:rPr>
          <w:color w:val="6E6158"/>
        </w:rPr>
        <w:t>applications, water rights adjudications, water availability opinions, water rights due diligence,</w:t>
      </w:r>
      <w:r>
        <w:rPr>
          <w:color w:val="6E6158"/>
          <w:spacing w:val="40"/>
        </w:rPr>
        <w:t> </w:t>
      </w:r>
      <w:r>
        <w:rPr>
          <w:color w:val="6E6158"/>
        </w:rPr>
        <w:t>water</w:t>
      </w:r>
      <w:r>
        <w:rPr>
          <w:color w:val="6E6158"/>
          <w:spacing w:val="19"/>
        </w:rPr>
        <w:t> </w:t>
      </w:r>
      <w:r>
        <w:rPr>
          <w:color w:val="6E6158"/>
        </w:rPr>
        <w:t>permitting,</w:t>
      </w:r>
      <w:r>
        <w:rPr>
          <w:color w:val="6E6158"/>
          <w:spacing w:val="19"/>
        </w:rPr>
        <w:t> </w:t>
      </w:r>
      <w:r>
        <w:rPr>
          <w:color w:val="6E6158"/>
        </w:rPr>
        <w:t>administrative</w:t>
      </w:r>
      <w:r>
        <w:rPr>
          <w:color w:val="6E6158"/>
          <w:spacing w:val="19"/>
        </w:rPr>
        <w:t> </w:t>
      </w:r>
      <w:r>
        <w:rPr>
          <w:color w:val="6E6158"/>
        </w:rPr>
        <w:t>hearings,</w:t>
      </w:r>
      <w:r>
        <w:rPr>
          <w:color w:val="6E6158"/>
          <w:spacing w:val="19"/>
        </w:rPr>
        <w:t> </w:t>
      </w:r>
      <w:r>
        <w:rPr>
          <w:color w:val="6E6158"/>
        </w:rPr>
        <w:t>agency</w:t>
      </w:r>
      <w:r>
        <w:rPr>
          <w:color w:val="6E6158"/>
          <w:spacing w:val="19"/>
        </w:rPr>
        <w:t> </w:t>
      </w:r>
      <w:r>
        <w:rPr>
          <w:color w:val="6E6158"/>
        </w:rPr>
        <w:t>appeals,</w:t>
      </w:r>
      <w:r>
        <w:rPr>
          <w:color w:val="6E6158"/>
          <w:spacing w:val="19"/>
        </w:rPr>
        <w:t> </w:t>
      </w:r>
      <w:r>
        <w:rPr>
          <w:color w:val="6E6158"/>
        </w:rPr>
        <w:t>and</w:t>
      </w:r>
      <w:r>
        <w:rPr>
          <w:color w:val="6E6158"/>
          <w:spacing w:val="19"/>
        </w:rPr>
        <w:t> </w:t>
      </w:r>
      <w:r>
        <w:rPr>
          <w:color w:val="6E6158"/>
        </w:rPr>
        <w:t>water</w:t>
      </w:r>
      <w:r>
        <w:rPr>
          <w:color w:val="6E6158"/>
          <w:spacing w:val="19"/>
        </w:rPr>
        <w:t> </w:t>
      </w:r>
      <w:r>
        <w:rPr>
          <w:color w:val="6E6158"/>
        </w:rPr>
        <w:t>rights</w:t>
      </w:r>
      <w:r>
        <w:rPr>
          <w:color w:val="6E6158"/>
          <w:spacing w:val="19"/>
        </w:rPr>
        <w:t> </w:t>
      </w:r>
      <w:r>
        <w:rPr>
          <w:color w:val="6E6158"/>
        </w:rPr>
        <w:t>litigation.</w:t>
      </w:r>
      <w:r>
        <w:rPr>
          <w:color w:val="6E6158"/>
          <w:spacing w:val="19"/>
        </w:rPr>
        <w:t> </w:t>
      </w:r>
      <w:r>
        <w:rPr>
          <w:color w:val="6E6158"/>
        </w:rPr>
        <w:t>She</w:t>
      </w:r>
      <w:r>
        <w:rPr>
          <w:color w:val="6E6158"/>
          <w:spacing w:val="19"/>
        </w:rPr>
        <w:t> </w:t>
      </w:r>
      <w:r>
        <w:rPr>
          <w:color w:val="6E6158"/>
        </w:rPr>
        <w:t>helps</w:t>
      </w:r>
    </w:p>
    <w:p>
      <w:pPr>
        <w:pStyle w:val="BodyText"/>
        <w:spacing w:after="0" w:line="292" w:lineRule="auto"/>
        <w:sectPr>
          <w:type w:val="continuous"/>
          <w:pgSz w:w="12240" w:h="15840"/>
          <w:pgMar w:top="560" w:bottom="280" w:left="1440" w:right="1440"/>
        </w:sectPr>
      </w:pPr>
    </w:p>
    <w:p>
      <w:pPr>
        <w:pStyle w:val="BodyText"/>
        <w:spacing w:line="295" w:lineRule="auto" w:before="83"/>
        <w:ind w:left="99" w:right="283"/>
      </w:pPr>
      <w:r>
        <w:rPr>
          <w:color w:val="6E6158"/>
        </w:rPr>
        <w:t>clients assess the legal availability and regulatory feasibility of water, coordinate with technical</w:t>
      </w:r>
      <w:r>
        <w:rPr>
          <w:color w:val="6E6158"/>
          <w:spacing w:val="40"/>
        </w:rPr>
        <w:t> </w:t>
      </w:r>
      <w:r>
        <w:rPr>
          <w:color w:val="6E6158"/>
        </w:rPr>
        <w:t>consultants, pursue or defend applications, protect existing rights, and respond to protests or</w:t>
      </w:r>
      <w:r>
        <w:rPr>
          <w:color w:val="6E6158"/>
          <w:spacing w:val="40"/>
        </w:rPr>
        <w:t> </w:t>
      </w:r>
      <w:r>
        <w:rPr>
          <w:color w:val="6E6158"/>
        </w:rPr>
        <w:t>adverse agency decisions. Her agency experience informs her understanding of the</w:t>
      </w:r>
      <w:r>
        <w:rPr>
          <w:color w:val="6E6158"/>
          <w:spacing w:val="40"/>
        </w:rPr>
        <w:t> </w:t>
      </w:r>
      <w:r>
        <w:rPr>
          <w:color w:val="6E6158"/>
        </w:rPr>
        <w:t>considerations that shape proceedings before the Nevada State Engineer.</w:t>
      </w:r>
    </w:p>
    <w:p>
      <w:pPr>
        <w:pStyle w:val="Heading2"/>
        <w:spacing w:before="197"/>
      </w:pPr>
      <w:r>
        <w:rPr>
          <w:color w:val="6E6158"/>
        </w:rPr>
        <w:t>Environmental</w:t>
      </w:r>
      <w:r>
        <w:rPr>
          <w:color w:val="6E6158"/>
          <w:spacing w:val="20"/>
        </w:rPr>
        <w:t> </w:t>
      </w:r>
      <w:r>
        <w:rPr>
          <w:color w:val="6E6158"/>
        </w:rPr>
        <w:t>Permitting,</w:t>
      </w:r>
      <w:r>
        <w:rPr>
          <w:color w:val="6E6158"/>
          <w:spacing w:val="20"/>
        </w:rPr>
        <w:t> </w:t>
      </w:r>
      <w:r>
        <w:rPr>
          <w:color w:val="6E6158"/>
        </w:rPr>
        <w:t>Compliance,</w:t>
      </w:r>
      <w:r>
        <w:rPr>
          <w:color w:val="6E6158"/>
          <w:spacing w:val="20"/>
        </w:rPr>
        <w:t> </w:t>
      </w:r>
      <w:r>
        <w:rPr>
          <w:color w:val="6E6158"/>
        </w:rPr>
        <w:t>and</w:t>
      </w:r>
      <w:r>
        <w:rPr>
          <w:color w:val="6E6158"/>
          <w:spacing w:val="20"/>
        </w:rPr>
        <w:t> </w:t>
      </w:r>
      <w:r>
        <w:rPr>
          <w:color w:val="6E6158"/>
          <w:spacing w:val="-2"/>
        </w:rPr>
        <w:t>Enforcement</w:t>
      </w:r>
    </w:p>
    <w:p>
      <w:pPr>
        <w:pStyle w:val="BodyText"/>
        <w:spacing w:before="14"/>
        <w:rPr>
          <w:b/>
        </w:rPr>
      </w:pPr>
    </w:p>
    <w:p>
      <w:pPr>
        <w:pStyle w:val="BodyText"/>
        <w:spacing w:line="297" w:lineRule="auto"/>
        <w:ind w:left="99" w:right="258"/>
      </w:pPr>
      <w:r>
        <w:rPr>
          <w:color w:val="6E6158"/>
        </w:rPr>
        <w:t>Micheline’s environmental practice includes environmental permitting and compliance,</w:t>
      </w:r>
      <w:r>
        <w:rPr>
          <w:color w:val="6E6158"/>
          <w:spacing w:val="40"/>
        </w:rPr>
        <w:t> </w:t>
      </w:r>
      <w:r>
        <w:rPr>
          <w:color w:val="6E6158"/>
        </w:rPr>
        <w:t>regulatory</w:t>
      </w:r>
      <w:r>
        <w:rPr>
          <w:color w:val="6E6158"/>
          <w:spacing w:val="29"/>
        </w:rPr>
        <w:t> </w:t>
      </w:r>
      <w:r>
        <w:rPr>
          <w:color w:val="6E6158"/>
        </w:rPr>
        <w:t>investigations,</w:t>
      </w:r>
      <w:r>
        <w:rPr>
          <w:color w:val="6E6158"/>
          <w:spacing w:val="29"/>
        </w:rPr>
        <w:t> </w:t>
      </w:r>
      <w:r>
        <w:rPr>
          <w:color w:val="6E6158"/>
        </w:rPr>
        <w:t>environmental</w:t>
      </w:r>
      <w:r>
        <w:rPr>
          <w:color w:val="6E6158"/>
          <w:spacing w:val="29"/>
        </w:rPr>
        <w:t> </w:t>
      </w:r>
      <w:r>
        <w:rPr>
          <w:color w:val="6E6158"/>
        </w:rPr>
        <w:t>enforcement</w:t>
      </w:r>
      <w:r>
        <w:rPr>
          <w:color w:val="6E6158"/>
          <w:spacing w:val="29"/>
        </w:rPr>
        <w:t> </w:t>
      </w:r>
      <w:r>
        <w:rPr>
          <w:color w:val="6E6158"/>
        </w:rPr>
        <w:t>defense,</w:t>
      </w:r>
      <w:r>
        <w:rPr>
          <w:color w:val="6E6158"/>
          <w:spacing w:val="29"/>
        </w:rPr>
        <w:t> </w:t>
      </w:r>
      <w:r>
        <w:rPr>
          <w:color w:val="6E6158"/>
        </w:rPr>
        <w:t>CERCLA</w:t>
      </w:r>
      <w:r>
        <w:rPr>
          <w:color w:val="6E6158"/>
          <w:spacing w:val="29"/>
        </w:rPr>
        <w:t> </w:t>
      </w:r>
      <w:r>
        <w:rPr>
          <w:color w:val="6E6158"/>
        </w:rPr>
        <w:t>liability,</w:t>
      </w:r>
      <w:r>
        <w:rPr>
          <w:color w:val="6E6158"/>
          <w:spacing w:val="29"/>
        </w:rPr>
        <w:t> </w:t>
      </w:r>
      <w:r>
        <w:rPr>
          <w:color w:val="6E6158"/>
        </w:rPr>
        <w:t>contaminated-site</w:t>
      </w:r>
      <w:r>
        <w:rPr>
          <w:color w:val="6E6158"/>
          <w:spacing w:val="33"/>
        </w:rPr>
        <w:t> </w:t>
      </w:r>
      <w:r>
        <w:rPr>
          <w:color w:val="6E6158"/>
        </w:rPr>
        <w:t>cleanup,</w:t>
      </w:r>
      <w:r>
        <w:rPr>
          <w:color w:val="6E6158"/>
          <w:spacing w:val="33"/>
        </w:rPr>
        <w:t> </w:t>
      </w:r>
      <w:r>
        <w:rPr>
          <w:color w:val="6E6158"/>
        </w:rPr>
        <w:t>Clean</w:t>
      </w:r>
      <w:r>
        <w:rPr>
          <w:color w:val="6E6158"/>
          <w:spacing w:val="33"/>
        </w:rPr>
        <w:t> </w:t>
      </w:r>
      <w:r>
        <w:rPr>
          <w:color w:val="6E6158"/>
        </w:rPr>
        <w:t>Water</w:t>
      </w:r>
      <w:r>
        <w:rPr>
          <w:color w:val="6E6158"/>
          <w:spacing w:val="33"/>
        </w:rPr>
        <w:t> </w:t>
      </w:r>
      <w:r>
        <w:rPr>
          <w:color w:val="6E6158"/>
        </w:rPr>
        <w:t>Act</w:t>
      </w:r>
      <w:r>
        <w:rPr>
          <w:color w:val="6E6158"/>
          <w:spacing w:val="33"/>
        </w:rPr>
        <w:t> </w:t>
      </w:r>
      <w:r>
        <w:rPr>
          <w:color w:val="6E6158"/>
        </w:rPr>
        <w:t>and</w:t>
      </w:r>
      <w:r>
        <w:rPr>
          <w:color w:val="6E6158"/>
          <w:spacing w:val="33"/>
        </w:rPr>
        <w:t> </w:t>
      </w:r>
      <w:r>
        <w:rPr>
          <w:color w:val="6E6158"/>
        </w:rPr>
        <w:t>Safe</w:t>
      </w:r>
      <w:r>
        <w:rPr>
          <w:color w:val="6E6158"/>
          <w:spacing w:val="33"/>
        </w:rPr>
        <w:t> </w:t>
      </w:r>
      <w:r>
        <w:rPr>
          <w:color w:val="6E6158"/>
        </w:rPr>
        <w:t>Drinking</w:t>
      </w:r>
      <w:r>
        <w:rPr>
          <w:color w:val="6E6158"/>
          <w:spacing w:val="33"/>
        </w:rPr>
        <w:t> </w:t>
      </w:r>
      <w:r>
        <w:rPr>
          <w:color w:val="6E6158"/>
        </w:rPr>
        <w:t>Water</w:t>
      </w:r>
      <w:r>
        <w:rPr>
          <w:color w:val="6E6158"/>
          <w:spacing w:val="33"/>
        </w:rPr>
        <w:t> </w:t>
      </w:r>
      <w:r>
        <w:rPr>
          <w:color w:val="6E6158"/>
        </w:rPr>
        <w:t>Act</w:t>
      </w:r>
      <w:r>
        <w:rPr>
          <w:color w:val="6E6158"/>
          <w:spacing w:val="33"/>
        </w:rPr>
        <w:t> </w:t>
      </w:r>
      <w:r>
        <w:rPr>
          <w:color w:val="6E6158"/>
        </w:rPr>
        <w:t>compliance,</w:t>
      </w:r>
      <w:r>
        <w:rPr>
          <w:color w:val="6E6158"/>
          <w:spacing w:val="33"/>
        </w:rPr>
        <w:t> </w:t>
      </w:r>
      <w:r>
        <w:rPr>
          <w:color w:val="6E6158"/>
        </w:rPr>
        <w:t>hazardous-waste</w:t>
      </w:r>
    </w:p>
    <w:p>
      <w:pPr>
        <w:pStyle w:val="BodyText"/>
        <w:spacing w:line="229" w:lineRule="exact"/>
        <w:ind w:left="99"/>
      </w:pPr>
      <w:r>
        <w:rPr>
          <w:color w:val="6E6158"/>
        </w:rPr>
        <w:t>regulation,</w:t>
      </w:r>
      <w:r>
        <w:rPr>
          <w:color w:val="6E6158"/>
          <w:spacing w:val="13"/>
        </w:rPr>
        <w:t> </w:t>
      </w:r>
      <w:r>
        <w:rPr>
          <w:color w:val="6E6158"/>
        </w:rPr>
        <w:t>and</w:t>
      </w:r>
      <w:r>
        <w:rPr>
          <w:color w:val="6E6158"/>
          <w:spacing w:val="14"/>
        </w:rPr>
        <w:t> </w:t>
      </w:r>
      <w:r>
        <w:rPr>
          <w:color w:val="6E6158"/>
        </w:rPr>
        <w:t>mine</w:t>
      </w:r>
      <w:r>
        <w:rPr>
          <w:color w:val="6E6158"/>
          <w:spacing w:val="14"/>
        </w:rPr>
        <w:t> </w:t>
      </w:r>
      <w:r>
        <w:rPr>
          <w:color w:val="6E6158"/>
        </w:rPr>
        <w:t>reclamation.</w:t>
      </w:r>
      <w:r>
        <w:rPr>
          <w:color w:val="6E6158"/>
          <w:spacing w:val="13"/>
        </w:rPr>
        <w:t> </w:t>
      </w:r>
      <w:r>
        <w:rPr>
          <w:color w:val="6E6158"/>
        </w:rPr>
        <w:t>While</w:t>
      </w:r>
      <w:r>
        <w:rPr>
          <w:color w:val="6E6158"/>
          <w:spacing w:val="14"/>
        </w:rPr>
        <w:t> </w:t>
      </w:r>
      <w:r>
        <w:rPr>
          <w:color w:val="6E6158"/>
        </w:rPr>
        <w:t>representing</w:t>
      </w:r>
      <w:r>
        <w:rPr>
          <w:color w:val="6E6158"/>
          <w:spacing w:val="14"/>
        </w:rPr>
        <w:t> </w:t>
      </w:r>
      <w:r>
        <w:rPr>
          <w:color w:val="6E6158"/>
        </w:rPr>
        <w:t>the</w:t>
      </w:r>
      <w:r>
        <w:rPr>
          <w:color w:val="6E6158"/>
          <w:spacing w:val="14"/>
        </w:rPr>
        <w:t> </w:t>
      </w:r>
      <w:r>
        <w:rPr>
          <w:color w:val="6E6158"/>
        </w:rPr>
        <w:t>Nevada</w:t>
      </w:r>
      <w:r>
        <w:rPr>
          <w:color w:val="6E6158"/>
          <w:spacing w:val="13"/>
        </w:rPr>
        <w:t> </w:t>
      </w:r>
      <w:r>
        <w:rPr>
          <w:color w:val="6E6158"/>
        </w:rPr>
        <w:t>Division</w:t>
      </w:r>
      <w:r>
        <w:rPr>
          <w:color w:val="6E6158"/>
          <w:spacing w:val="14"/>
        </w:rPr>
        <w:t> </w:t>
      </w:r>
      <w:r>
        <w:rPr>
          <w:color w:val="6E6158"/>
        </w:rPr>
        <w:t>of</w:t>
      </w:r>
      <w:r>
        <w:rPr>
          <w:color w:val="6E6158"/>
          <w:spacing w:val="14"/>
        </w:rPr>
        <w:t> </w:t>
      </w:r>
      <w:r>
        <w:rPr>
          <w:color w:val="6E6158"/>
          <w:spacing w:val="-2"/>
        </w:rPr>
        <w:t>Environmental</w:t>
      </w:r>
    </w:p>
    <w:p>
      <w:pPr>
        <w:pStyle w:val="BodyText"/>
        <w:spacing w:line="302" w:lineRule="auto" w:before="52"/>
        <w:ind w:left="99" w:right="267"/>
      </w:pPr>
      <w:r>
        <w:rPr>
          <w:color w:val="6E6158"/>
        </w:rPr>
        <w:t>Protection,</w:t>
      </w:r>
      <w:r>
        <w:rPr>
          <w:color w:val="6E6158"/>
          <w:spacing w:val="19"/>
        </w:rPr>
        <w:t> </w:t>
      </w:r>
      <w:r>
        <w:rPr>
          <w:color w:val="6E6158"/>
        </w:rPr>
        <w:t>she</w:t>
      </w:r>
      <w:r>
        <w:rPr>
          <w:color w:val="6E6158"/>
          <w:spacing w:val="19"/>
        </w:rPr>
        <w:t> </w:t>
      </w:r>
      <w:r>
        <w:rPr>
          <w:color w:val="6E6158"/>
        </w:rPr>
        <w:t>worked</w:t>
      </w:r>
      <w:r>
        <w:rPr>
          <w:color w:val="6E6158"/>
          <w:spacing w:val="19"/>
        </w:rPr>
        <w:t> </w:t>
      </w:r>
      <w:r>
        <w:rPr>
          <w:color w:val="6E6158"/>
        </w:rPr>
        <w:t>on</w:t>
      </w:r>
      <w:r>
        <w:rPr>
          <w:color w:val="6E6158"/>
          <w:spacing w:val="19"/>
        </w:rPr>
        <w:t> </w:t>
      </w:r>
      <w:r>
        <w:rPr>
          <w:color w:val="6E6158"/>
        </w:rPr>
        <w:t>mine</w:t>
      </w:r>
      <w:r>
        <w:rPr>
          <w:color w:val="6E6158"/>
          <w:spacing w:val="19"/>
        </w:rPr>
        <w:t> </w:t>
      </w:r>
      <w:r>
        <w:rPr>
          <w:color w:val="6E6158"/>
        </w:rPr>
        <w:t>permitting</w:t>
      </w:r>
      <w:r>
        <w:rPr>
          <w:color w:val="6E6158"/>
          <w:spacing w:val="19"/>
        </w:rPr>
        <w:t> </w:t>
      </w:r>
      <w:r>
        <w:rPr>
          <w:color w:val="6E6158"/>
        </w:rPr>
        <w:t>and</w:t>
      </w:r>
      <w:r>
        <w:rPr>
          <w:color w:val="6E6158"/>
          <w:spacing w:val="19"/>
        </w:rPr>
        <w:t> </w:t>
      </w:r>
      <w:r>
        <w:rPr>
          <w:color w:val="6E6158"/>
        </w:rPr>
        <w:t>regulatory</w:t>
      </w:r>
      <w:r>
        <w:rPr>
          <w:color w:val="6E6158"/>
          <w:spacing w:val="19"/>
        </w:rPr>
        <w:t> </w:t>
      </w:r>
      <w:r>
        <w:rPr>
          <w:color w:val="6E6158"/>
        </w:rPr>
        <w:t>matters</w:t>
      </w:r>
      <w:r>
        <w:rPr>
          <w:color w:val="6E6158"/>
          <w:spacing w:val="19"/>
        </w:rPr>
        <w:t> </w:t>
      </w:r>
      <w:r>
        <w:rPr>
          <w:color w:val="6E6158"/>
        </w:rPr>
        <w:t>involving</w:t>
      </w:r>
      <w:r>
        <w:rPr>
          <w:color w:val="6E6158"/>
          <w:spacing w:val="19"/>
        </w:rPr>
        <w:t> </w:t>
      </w:r>
      <w:r>
        <w:rPr>
          <w:color w:val="6E6158"/>
        </w:rPr>
        <w:t>overlapping</w:t>
      </w:r>
      <w:r>
        <w:rPr>
          <w:color w:val="6E6158"/>
          <w:spacing w:val="19"/>
        </w:rPr>
        <w:t> </w:t>
      </w:r>
      <w:r>
        <w:rPr>
          <w:color w:val="6E6158"/>
        </w:rPr>
        <w:t>water-quality,</w:t>
      </w:r>
      <w:r>
        <w:rPr>
          <w:color w:val="6E6158"/>
          <w:spacing w:val="40"/>
        </w:rPr>
        <w:t> </w:t>
      </w:r>
      <w:r>
        <w:rPr>
          <w:color w:val="6E6158"/>
        </w:rPr>
        <w:t>environmental-compliance,</w:t>
      </w:r>
      <w:r>
        <w:rPr>
          <w:color w:val="6E6158"/>
          <w:spacing w:val="40"/>
        </w:rPr>
        <w:t> </w:t>
      </w:r>
      <w:r>
        <w:rPr>
          <w:color w:val="6E6158"/>
        </w:rPr>
        <w:t>waste-management,</w:t>
      </w:r>
      <w:r>
        <w:rPr>
          <w:color w:val="6E6158"/>
          <w:spacing w:val="40"/>
        </w:rPr>
        <w:t> </w:t>
      </w:r>
      <w:r>
        <w:rPr>
          <w:color w:val="6E6158"/>
        </w:rPr>
        <w:t>and</w:t>
      </w:r>
      <w:r>
        <w:rPr>
          <w:color w:val="6E6158"/>
          <w:spacing w:val="40"/>
        </w:rPr>
        <w:t> </w:t>
      </w:r>
      <w:r>
        <w:rPr>
          <w:color w:val="6E6158"/>
        </w:rPr>
        <w:t>reclamation</w:t>
      </w:r>
      <w:r>
        <w:rPr>
          <w:color w:val="6E6158"/>
          <w:spacing w:val="40"/>
        </w:rPr>
        <w:t> </w:t>
      </w:r>
      <w:r>
        <w:rPr>
          <w:color w:val="6E6158"/>
        </w:rPr>
        <w:t>requirements.</w:t>
      </w:r>
    </w:p>
    <w:p>
      <w:pPr>
        <w:pStyle w:val="BodyText"/>
        <w:spacing w:line="295" w:lineRule="auto" w:before="186"/>
        <w:ind w:left="99" w:right="160"/>
      </w:pPr>
      <w:r>
        <w:rPr>
          <w:color w:val="6E6158"/>
        </w:rPr>
        <w:t>She counsels clients responding to investigations and enforcement actions by assessing </w:t>
      </w:r>
      <w:r>
        <w:rPr>
          <w:color w:val="6E6158"/>
        </w:rPr>
        <w:t>potential</w:t>
      </w:r>
      <w:r>
        <w:rPr>
          <w:color w:val="6E6158"/>
          <w:spacing w:val="40"/>
        </w:rPr>
        <w:t> </w:t>
      </w:r>
      <w:r>
        <w:rPr>
          <w:color w:val="6E6158"/>
        </w:rPr>
        <w:t>exposure, preparing regulatory submissions, negotiating with agencies, and litigating contested</w:t>
      </w:r>
      <w:r>
        <w:rPr>
          <w:color w:val="6E6158"/>
          <w:spacing w:val="40"/>
        </w:rPr>
        <w:t> </w:t>
      </w:r>
      <w:r>
        <w:rPr>
          <w:color w:val="6E6158"/>
        </w:rPr>
        <w:t>matters.</w:t>
      </w:r>
      <w:r>
        <w:rPr>
          <w:color w:val="6E6158"/>
          <w:spacing w:val="38"/>
        </w:rPr>
        <w:t> </w:t>
      </w:r>
      <w:r>
        <w:rPr>
          <w:color w:val="6E6158"/>
        </w:rPr>
        <w:t>She</w:t>
      </w:r>
      <w:r>
        <w:rPr>
          <w:color w:val="6E6158"/>
          <w:spacing w:val="38"/>
        </w:rPr>
        <w:t> </w:t>
      </w:r>
      <w:r>
        <w:rPr>
          <w:color w:val="6E6158"/>
        </w:rPr>
        <w:t>also</w:t>
      </w:r>
      <w:r>
        <w:rPr>
          <w:color w:val="6E6158"/>
          <w:spacing w:val="37"/>
        </w:rPr>
        <w:t> </w:t>
      </w:r>
      <w:r>
        <w:rPr>
          <w:color w:val="6E6158"/>
        </w:rPr>
        <w:t>helps</w:t>
      </w:r>
      <w:r>
        <w:rPr>
          <w:color w:val="6E6158"/>
          <w:spacing w:val="38"/>
        </w:rPr>
        <w:t> </w:t>
      </w:r>
      <w:r>
        <w:rPr>
          <w:color w:val="6E6158"/>
        </w:rPr>
        <w:t>clients</w:t>
      </w:r>
      <w:r>
        <w:rPr>
          <w:color w:val="6E6158"/>
          <w:spacing w:val="38"/>
        </w:rPr>
        <w:t> </w:t>
      </w:r>
      <w:r>
        <w:rPr>
          <w:color w:val="6E6158"/>
        </w:rPr>
        <w:t>identify</w:t>
      </w:r>
      <w:r>
        <w:rPr>
          <w:color w:val="6E6158"/>
          <w:spacing w:val="37"/>
        </w:rPr>
        <w:t> </w:t>
      </w:r>
      <w:r>
        <w:rPr>
          <w:color w:val="6E6158"/>
        </w:rPr>
        <w:t>compliance</w:t>
      </w:r>
      <w:r>
        <w:rPr>
          <w:color w:val="6E6158"/>
          <w:spacing w:val="38"/>
        </w:rPr>
        <w:t> </w:t>
      </w:r>
      <w:r>
        <w:rPr>
          <w:color w:val="6E6158"/>
        </w:rPr>
        <w:t>concerns</w:t>
      </w:r>
      <w:r>
        <w:rPr>
          <w:color w:val="6E6158"/>
          <w:spacing w:val="38"/>
        </w:rPr>
        <w:t> </w:t>
      </w:r>
      <w:r>
        <w:rPr>
          <w:color w:val="6E6158"/>
        </w:rPr>
        <w:t>and</w:t>
      </w:r>
      <w:r>
        <w:rPr>
          <w:color w:val="6E6158"/>
          <w:spacing w:val="37"/>
        </w:rPr>
        <w:t> </w:t>
      </w:r>
      <w:r>
        <w:rPr>
          <w:color w:val="6E6158"/>
        </w:rPr>
        <w:t>develop</w:t>
      </w:r>
      <w:r>
        <w:rPr>
          <w:color w:val="6E6158"/>
          <w:spacing w:val="38"/>
        </w:rPr>
        <w:t> </w:t>
      </w:r>
      <w:r>
        <w:rPr>
          <w:color w:val="6E6158"/>
        </w:rPr>
        <w:t>coordinated responses before those concerns escalate.</w:t>
      </w:r>
    </w:p>
    <w:p>
      <w:pPr>
        <w:pStyle w:val="Heading2"/>
        <w:spacing w:before="196"/>
      </w:pPr>
      <w:r>
        <w:rPr>
          <w:color w:val="6E6158"/>
        </w:rPr>
        <w:t>Mining,</w:t>
      </w:r>
      <w:r>
        <w:rPr>
          <w:color w:val="6E6158"/>
          <w:spacing w:val="11"/>
        </w:rPr>
        <w:t> </w:t>
      </w:r>
      <w:r>
        <w:rPr>
          <w:color w:val="6E6158"/>
        </w:rPr>
        <w:t>Energy,</w:t>
      </w:r>
      <w:r>
        <w:rPr>
          <w:color w:val="6E6158"/>
          <w:spacing w:val="12"/>
        </w:rPr>
        <w:t> </w:t>
      </w:r>
      <w:r>
        <w:rPr>
          <w:color w:val="6E6158"/>
        </w:rPr>
        <w:t>and</w:t>
      </w:r>
      <w:r>
        <w:rPr>
          <w:color w:val="6E6158"/>
          <w:spacing w:val="12"/>
        </w:rPr>
        <w:t> </w:t>
      </w:r>
      <w:r>
        <w:rPr>
          <w:color w:val="6E6158"/>
        </w:rPr>
        <w:t>Data</w:t>
      </w:r>
      <w:r>
        <w:rPr>
          <w:color w:val="6E6158"/>
          <w:spacing w:val="12"/>
        </w:rPr>
        <w:t> </w:t>
      </w:r>
      <w:r>
        <w:rPr>
          <w:color w:val="6E6158"/>
          <w:spacing w:val="-2"/>
        </w:rPr>
        <w:t>Infrastructure</w:t>
      </w:r>
    </w:p>
    <w:p>
      <w:pPr>
        <w:pStyle w:val="BodyText"/>
        <w:spacing w:before="15"/>
        <w:rPr>
          <w:b/>
        </w:rPr>
      </w:pPr>
    </w:p>
    <w:p>
      <w:pPr>
        <w:pStyle w:val="BodyText"/>
        <w:spacing w:line="302" w:lineRule="auto"/>
        <w:ind w:left="99" w:right="283"/>
      </w:pPr>
      <w:r>
        <w:rPr>
          <w:color w:val="6E6158"/>
        </w:rPr>
        <w:t>For mining and critical-minerals projects, Micheline addresses interconnected water, environmental,</w:t>
      </w:r>
      <w:r>
        <w:rPr>
          <w:color w:val="6E6158"/>
          <w:spacing w:val="28"/>
        </w:rPr>
        <w:t> </w:t>
      </w:r>
      <w:r>
        <w:rPr>
          <w:color w:val="6E6158"/>
        </w:rPr>
        <w:t>permitting,</w:t>
      </w:r>
      <w:r>
        <w:rPr>
          <w:color w:val="6E6158"/>
          <w:spacing w:val="28"/>
        </w:rPr>
        <w:t> </w:t>
      </w:r>
      <w:r>
        <w:rPr>
          <w:color w:val="6E6158"/>
        </w:rPr>
        <w:t>waste-management,</w:t>
      </w:r>
      <w:r>
        <w:rPr>
          <w:color w:val="6E6158"/>
          <w:spacing w:val="28"/>
        </w:rPr>
        <w:t> </w:t>
      </w:r>
      <w:r>
        <w:rPr>
          <w:color w:val="6E6158"/>
        </w:rPr>
        <w:t>compliance,</w:t>
      </w:r>
      <w:r>
        <w:rPr>
          <w:color w:val="6E6158"/>
          <w:spacing w:val="28"/>
        </w:rPr>
        <w:t> </w:t>
      </w:r>
      <w:r>
        <w:rPr>
          <w:color w:val="6E6158"/>
        </w:rPr>
        <w:t>and</w:t>
      </w:r>
      <w:r>
        <w:rPr>
          <w:color w:val="6E6158"/>
          <w:spacing w:val="28"/>
        </w:rPr>
        <w:t> </w:t>
      </w:r>
      <w:r>
        <w:rPr>
          <w:color w:val="6E6158"/>
        </w:rPr>
        <w:t>reclamation</w:t>
      </w:r>
      <w:r>
        <w:rPr>
          <w:color w:val="6E6158"/>
          <w:spacing w:val="28"/>
        </w:rPr>
        <w:t> </w:t>
      </w:r>
      <w:r>
        <w:rPr>
          <w:color w:val="6E6158"/>
        </w:rPr>
        <w:t>issues.</w:t>
      </w:r>
      <w:r>
        <w:rPr>
          <w:color w:val="6E6158"/>
          <w:spacing w:val="28"/>
        </w:rPr>
        <w:t> </w:t>
      </w:r>
      <w:r>
        <w:rPr>
          <w:color w:val="6E6158"/>
        </w:rPr>
        <w:t>Her</w:t>
      </w:r>
    </w:p>
    <w:p>
      <w:pPr>
        <w:pStyle w:val="BodyText"/>
        <w:spacing w:line="292" w:lineRule="auto"/>
        <w:ind w:left="99" w:right="283"/>
      </w:pPr>
      <w:r>
        <w:rPr>
          <w:color w:val="6E6158"/>
        </w:rPr>
        <w:t>practice also addresses water availability, environmental permitting, and regulatory </w:t>
      </w:r>
      <w:r>
        <w:rPr>
          <w:color w:val="6E6158"/>
        </w:rPr>
        <w:t>sequencing</w:t>
      </w:r>
      <w:r>
        <w:rPr>
          <w:color w:val="6E6158"/>
          <w:spacing w:val="40"/>
        </w:rPr>
        <w:t> </w:t>
      </w:r>
      <w:r>
        <w:rPr>
          <w:color w:val="6E6158"/>
        </w:rPr>
        <w:t>for renewable-energy, solar, data-center, and related infrastructure projects.</w:t>
      </w:r>
    </w:p>
    <w:p>
      <w:pPr>
        <w:pStyle w:val="Heading2"/>
        <w:spacing w:before="187"/>
      </w:pPr>
      <w:r>
        <w:rPr>
          <w:color w:val="6E6158"/>
        </w:rPr>
        <w:t>Administrative</w:t>
      </w:r>
      <w:r>
        <w:rPr>
          <w:color w:val="6E6158"/>
          <w:spacing w:val="17"/>
        </w:rPr>
        <w:t> </w:t>
      </w:r>
      <w:r>
        <w:rPr>
          <w:color w:val="6E6158"/>
        </w:rPr>
        <w:t>Appeals</w:t>
      </w:r>
      <w:r>
        <w:rPr>
          <w:color w:val="6E6158"/>
          <w:spacing w:val="17"/>
        </w:rPr>
        <w:t> </w:t>
      </w:r>
      <w:r>
        <w:rPr>
          <w:color w:val="6E6158"/>
        </w:rPr>
        <w:t>and</w:t>
      </w:r>
      <w:r>
        <w:rPr>
          <w:color w:val="6E6158"/>
          <w:spacing w:val="17"/>
        </w:rPr>
        <w:t> </w:t>
      </w:r>
      <w:r>
        <w:rPr>
          <w:color w:val="6E6158"/>
        </w:rPr>
        <w:t>Natural</w:t>
      </w:r>
      <w:r>
        <w:rPr>
          <w:color w:val="6E6158"/>
          <w:spacing w:val="17"/>
        </w:rPr>
        <w:t> </w:t>
      </w:r>
      <w:r>
        <w:rPr>
          <w:color w:val="6E6158"/>
        </w:rPr>
        <w:t>Resources</w:t>
      </w:r>
      <w:r>
        <w:rPr>
          <w:color w:val="6E6158"/>
          <w:spacing w:val="17"/>
        </w:rPr>
        <w:t> </w:t>
      </w:r>
      <w:r>
        <w:rPr>
          <w:color w:val="6E6158"/>
          <w:spacing w:val="-2"/>
        </w:rPr>
        <w:t>Litigation</w:t>
      </w:r>
    </w:p>
    <w:p>
      <w:pPr>
        <w:pStyle w:val="BodyText"/>
        <w:spacing w:before="22"/>
        <w:rPr>
          <w:b/>
        </w:rPr>
      </w:pPr>
    </w:p>
    <w:p>
      <w:pPr>
        <w:pStyle w:val="BodyText"/>
        <w:spacing w:line="292" w:lineRule="auto"/>
        <w:ind w:left="99" w:right="160"/>
      </w:pPr>
      <w:r>
        <w:rPr>
          <w:color w:val="6E6158"/>
        </w:rPr>
        <w:t>When</w:t>
      </w:r>
      <w:r>
        <w:rPr>
          <w:color w:val="6E6158"/>
          <w:spacing w:val="40"/>
        </w:rPr>
        <w:t> </w:t>
      </w:r>
      <w:r>
        <w:rPr>
          <w:color w:val="6E6158"/>
        </w:rPr>
        <w:t>matters</w:t>
      </w:r>
      <w:r>
        <w:rPr>
          <w:color w:val="6E6158"/>
          <w:spacing w:val="40"/>
        </w:rPr>
        <w:t> </w:t>
      </w:r>
      <w:r>
        <w:rPr>
          <w:color w:val="6E6158"/>
        </w:rPr>
        <w:t>become</w:t>
      </w:r>
      <w:r>
        <w:rPr>
          <w:color w:val="6E6158"/>
          <w:spacing w:val="40"/>
        </w:rPr>
        <w:t> </w:t>
      </w:r>
      <w:r>
        <w:rPr>
          <w:color w:val="6E6158"/>
        </w:rPr>
        <w:t>contested,</w:t>
      </w:r>
      <w:r>
        <w:rPr>
          <w:color w:val="6E6158"/>
          <w:spacing w:val="40"/>
        </w:rPr>
        <w:t> </w:t>
      </w:r>
      <w:r>
        <w:rPr>
          <w:color w:val="6E6158"/>
        </w:rPr>
        <w:t>Micheline</w:t>
      </w:r>
      <w:r>
        <w:rPr>
          <w:color w:val="6E6158"/>
          <w:spacing w:val="40"/>
        </w:rPr>
        <w:t> </w:t>
      </w:r>
      <w:r>
        <w:rPr>
          <w:color w:val="6E6158"/>
        </w:rPr>
        <w:t>represents</w:t>
      </w:r>
      <w:r>
        <w:rPr>
          <w:color w:val="6E6158"/>
          <w:spacing w:val="40"/>
        </w:rPr>
        <w:t> </w:t>
      </w:r>
      <w:r>
        <w:rPr>
          <w:color w:val="6E6158"/>
        </w:rPr>
        <w:t>clients</w:t>
      </w:r>
      <w:r>
        <w:rPr>
          <w:color w:val="6E6158"/>
          <w:spacing w:val="40"/>
        </w:rPr>
        <w:t> </w:t>
      </w:r>
      <w:r>
        <w:rPr>
          <w:color w:val="6E6158"/>
        </w:rPr>
        <w:t>in</w:t>
      </w:r>
      <w:r>
        <w:rPr>
          <w:color w:val="6E6158"/>
          <w:spacing w:val="40"/>
        </w:rPr>
        <w:t> </w:t>
      </w:r>
      <w:r>
        <w:rPr>
          <w:color w:val="6E6158"/>
        </w:rPr>
        <w:t>administrative</w:t>
      </w:r>
      <w:r>
        <w:rPr>
          <w:color w:val="6E6158"/>
          <w:spacing w:val="40"/>
        </w:rPr>
        <w:t> </w:t>
      </w:r>
      <w:r>
        <w:rPr>
          <w:color w:val="6E6158"/>
        </w:rPr>
        <w:t>hearings, agency appeals, water rights litigation, environmental litigation, and natural resources </w:t>
      </w:r>
      <w:r>
        <w:rPr>
          <w:color w:val="6E6158"/>
        </w:rPr>
        <w:t>litigation.</w:t>
      </w:r>
      <w:r>
        <w:rPr>
          <w:color w:val="6E6158"/>
          <w:spacing w:val="40"/>
        </w:rPr>
        <w:t> </w:t>
      </w:r>
      <w:r>
        <w:rPr>
          <w:color w:val="6E6158"/>
        </w:rPr>
        <w:t>She advises during the agency process with an understanding of how the administrative record</w:t>
      </w:r>
      <w:r>
        <w:rPr>
          <w:color w:val="6E6158"/>
          <w:spacing w:val="40"/>
        </w:rPr>
        <w:t> </w:t>
      </w:r>
      <w:r>
        <w:rPr>
          <w:color w:val="6E6158"/>
        </w:rPr>
        <w:t>and decision may later be evaluated on judicial review.</w:t>
      </w:r>
    </w:p>
    <w:p>
      <w:pPr>
        <w:spacing w:line="283" w:lineRule="auto" w:before="196"/>
        <w:ind w:left="99" w:right="160" w:firstLine="0"/>
        <w:jc w:val="left"/>
        <w:rPr>
          <w:sz w:val="19"/>
        </w:rPr>
      </w:pPr>
      <w:r>
        <w:rPr>
          <w:color w:val="6E6158"/>
          <w:sz w:val="19"/>
        </w:rPr>
        <w:t>Her appellate experience includes arguing </w:t>
      </w:r>
      <w:r>
        <w:rPr>
          <w:i/>
          <w:color w:val="6E6158"/>
          <w:sz w:val="20"/>
        </w:rPr>
        <w:t>United States v. U.S. Board of Water Commissioners</w:t>
      </w:r>
      <w:r>
        <w:rPr>
          <w:i/>
          <w:color w:val="6E6158"/>
          <w:sz w:val="20"/>
        </w:rPr>
        <w:t> </w:t>
      </w:r>
      <w:r>
        <w:rPr>
          <w:color w:val="6E6158"/>
          <w:sz w:val="19"/>
        </w:rPr>
        <w:t>before the Ninth Circuit on behalf of the State of Nevada and serving as counsel on a multistate</w:t>
      </w:r>
      <w:r>
        <w:rPr>
          <w:color w:val="6E6158"/>
          <w:spacing w:val="40"/>
          <w:sz w:val="19"/>
        </w:rPr>
        <w:t> </w:t>
      </w:r>
      <w:r>
        <w:rPr>
          <w:color w:val="6E6158"/>
          <w:sz w:val="19"/>
        </w:rPr>
        <w:t>amicus brief submitted to the United States Supreme Court at the certiorari stage in </w:t>
      </w:r>
      <w:r>
        <w:rPr>
          <w:i/>
          <w:color w:val="6E6158"/>
          <w:sz w:val="20"/>
        </w:rPr>
        <w:t>Coachella</w:t>
      </w:r>
      <w:r>
        <w:rPr>
          <w:i/>
          <w:color w:val="6E6158"/>
          <w:sz w:val="20"/>
        </w:rPr>
        <w:t> Valley Water District v. Agua Caliente Band of Cahuilla Indians</w:t>
      </w:r>
      <w:r>
        <w:rPr>
          <w:color w:val="6E6158"/>
          <w:sz w:val="19"/>
        </w:rPr>
        <w:t>. She has also served on the</w:t>
      </w:r>
    </w:p>
    <w:p>
      <w:pPr>
        <w:pStyle w:val="BodyText"/>
        <w:spacing w:line="292" w:lineRule="auto" w:before="15"/>
        <w:ind w:left="99" w:right="283"/>
      </w:pPr>
      <w:r>
        <w:rPr>
          <w:color w:val="6E6158"/>
        </w:rPr>
        <w:t>Nevada Supreme Court Commission to Study the Adjudication of Water Law Cases and in</w:t>
      </w:r>
      <w:r>
        <w:rPr>
          <w:color w:val="6E6158"/>
          <w:spacing w:val="40"/>
        </w:rPr>
        <w:t> </w:t>
      </w:r>
      <w:r>
        <w:rPr>
          <w:color w:val="6E6158"/>
        </w:rPr>
        <w:t>leadership roles with the Western States Water Council.</w:t>
      </w:r>
    </w:p>
    <w:p>
      <w:pPr>
        <w:pStyle w:val="Heading1"/>
        <w:spacing w:before="162"/>
      </w:pPr>
      <w:r>
        <w:rPr>
          <w:color w:val="FF8100"/>
          <w:spacing w:val="-2"/>
        </w:rPr>
        <w:t>EDUCATION</w:t>
      </w:r>
    </w:p>
    <w:p>
      <w:pPr>
        <w:pStyle w:val="BodyText"/>
        <w:spacing w:before="17"/>
        <w:rPr>
          <w:b/>
        </w:rPr>
      </w:pPr>
    </w:p>
    <w:p>
      <w:pPr>
        <w:pStyle w:val="BodyText"/>
        <w:spacing w:before="1"/>
        <w:ind w:left="99"/>
        <w:rPr>
          <w:i/>
          <w:sz w:val="20"/>
        </w:rPr>
      </w:pPr>
      <w:r>
        <w:rPr>
          <w:color w:val="6E6158"/>
        </w:rPr>
        <w:t>B.A.,</w:t>
      </w:r>
      <w:r>
        <w:rPr>
          <w:color w:val="6E6158"/>
          <w:spacing w:val="11"/>
        </w:rPr>
        <w:t> </w:t>
      </w:r>
      <w:r>
        <w:rPr>
          <w:color w:val="6E6158"/>
        </w:rPr>
        <w:t>Western</w:t>
      </w:r>
      <w:r>
        <w:rPr>
          <w:color w:val="6E6158"/>
          <w:spacing w:val="11"/>
        </w:rPr>
        <w:t> </w:t>
      </w:r>
      <w:r>
        <w:rPr>
          <w:color w:val="6E6158"/>
        </w:rPr>
        <w:t>Colorado</w:t>
      </w:r>
      <w:r>
        <w:rPr>
          <w:color w:val="6E6158"/>
          <w:spacing w:val="11"/>
        </w:rPr>
        <w:t> </w:t>
      </w:r>
      <w:r>
        <w:rPr>
          <w:color w:val="6E6158"/>
        </w:rPr>
        <w:t>University,</w:t>
      </w:r>
      <w:r>
        <w:rPr>
          <w:color w:val="6E6158"/>
          <w:spacing w:val="13"/>
        </w:rPr>
        <w:t> </w:t>
      </w:r>
      <w:r>
        <w:rPr>
          <w:color w:val="6E6158"/>
        </w:rPr>
        <w:t>cu</w:t>
      </w:r>
      <w:r>
        <w:rPr>
          <w:i/>
          <w:color w:val="6E6158"/>
          <w:sz w:val="20"/>
        </w:rPr>
        <w:t>m</w:t>
      </w:r>
      <w:r>
        <w:rPr>
          <w:i/>
          <w:color w:val="6E6158"/>
          <w:spacing w:val="8"/>
          <w:sz w:val="20"/>
        </w:rPr>
        <w:t> </w:t>
      </w:r>
      <w:r>
        <w:rPr>
          <w:i/>
          <w:color w:val="6E6158"/>
          <w:spacing w:val="-2"/>
          <w:sz w:val="20"/>
        </w:rPr>
        <w:t>laude</w:t>
      </w:r>
    </w:p>
    <w:p>
      <w:pPr>
        <w:pStyle w:val="BodyText"/>
        <w:spacing w:before="179"/>
        <w:ind w:left="99"/>
      </w:pPr>
      <w:r>
        <w:rPr>
          <w:color w:val="6E6158"/>
        </w:rPr>
        <w:t>J.D.,</w:t>
      </w:r>
      <w:r>
        <w:rPr>
          <w:color w:val="6E6158"/>
          <w:spacing w:val="13"/>
        </w:rPr>
        <w:t> </w:t>
      </w:r>
      <w:r>
        <w:rPr>
          <w:color w:val="6E6158"/>
        </w:rPr>
        <w:t>Willamette</w:t>
      </w:r>
      <w:r>
        <w:rPr>
          <w:color w:val="6E6158"/>
          <w:spacing w:val="14"/>
        </w:rPr>
        <w:t> </w:t>
      </w:r>
      <w:r>
        <w:rPr>
          <w:color w:val="6E6158"/>
        </w:rPr>
        <w:t>University</w:t>
      </w:r>
      <w:r>
        <w:rPr>
          <w:color w:val="6E6158"/>
          <w:spacing w:val="14"/>
        </w:rPr>
        <w:t> </w:t>
      </w:r>
      <w:r>
        <w:rPr>
          <w:color w:val="6E6158"/>
        </w:rPr>
        <w:t>College</w:t>
      </w:r>
      <w:r>
        <w:rPr>
          <w:color w:val="6E6158"/>
          <w:spacing w:val="13"/>
        </w:rPr>
        <w:t> </w:t>
      </w:r>
      <w:r>
        <w:rPr>
          <w:color w:val="6E6158"/>
        </w:rPr>
        <w:t>of</w:t>
      </w:r>
      <w:r>
        <w:rPr>
          <w:color w:val="6E6158"/>
          <w:spacing w:val="14"/>
        </w:rPr>
        <w:t> </w:t>
      </w:r>
      <w:r>
        <w:rPr>
          <w:color w:val="6E6158"/>
          <w:spacing w:val="-5"/>
        </w:rPr>
        <w:t>Law</w:t>
      </w:r>
    </w:p>
    <w:p>
      <w:pPr>
        <w:pStyle w:val="BodyText"/>
        <w:spacing w:before="163"/>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rPr>
          <w:b/>
        </w:rPr>
      </w:pPr>
    </w:p>
    <w:p>
      <w:pPr>
        <w:pStyle w:val="BodyText"/>
        <w:spacing w:line="420" w:lineRule="auto"/>
        <w:ind w:left="99" w:right="7555"/>
        <w:jc w:val="both"/>
      </w:pPr>
      <w:r>
        <w:rPr>
          <w:color w:val="6E6158"/>
        </w:rPr>
        <w:t>Natural </w:t>
      </w:r>
      <w:r>
        <w:rPr>
          <w:color w:val="6E6158"/>
        </w:rPr>
        <w:t>Resources Business Litigation Water Law</w:t>
      </w:r>
    </w:p>
    <w:p>
      <w:pPr>
        <w:pStyle w:val="BodyText"/>
        <w:spacing w:before="6"/>
        <w:ind w:left="99"/>
        <w:jc w:val="both"/>
      </w:pPr>
      <w:r>
        <w:rPr>
          <w:color w:val="6E6158"/>
        </w:rPr>
        <w:t>Mining</w:t>
      </w:r>
      <w:r>
        <w:rPr>
          <w:color w:val="6E6158"/>
          <w:spacing w:val="13"/>
        </w:rPr>
        <w:t> </w:t>
      </w:r>
      <w:r>
        <w:rPr>
          <w:color w:val="6E6158"/>
          <w:spacing w:val="-5"/>
        </w:rPr>
        <w:t>Law</w:t>
      </w:r>
    </w:p>
    <w:p>
      <w:pPr>
        <w:pStyle w:val="BodyText"/>
        <w:spacing w:after="0"/>
        <w:jc w:val="both"/>
        <w:sectPr>
          <w:pgSz w:w="12240" w:h="15840"/>
          <w:pgMar w:top="500" w:bottom="280" w:left="1440" w:right="1440"/>
        </w:sectPr>
      </w:pPr>
    </w:p>
    <w:p>
      <w:pPr>
        <w:pStyle w:val="Heading1"/>
        <w:spacing w:before="83"/>
      </w:pPr>
      <w:r>
        <w:rPr>
          <w:color w:val="FF8100"/>
        </w:rPr>
        <w:t>REPRESENTATIVE</w:t>
      </w:r>
      <w:r>
        <w:rPr>
          <w:color w:val="FF8100"/>
          <w:spacing w:val="19"/>
        </w:rPr>
        <w:t> </w:t>
      </w:r>
      <w:r>
        <w:rPr>
          <w:color w:val="FF8100"/>
          <w:spacing w:val="-2"/>
        </w:rPr>
        <w:t>CASES</w:t>
      </w:r>
    </w:p>
    <w:p>
      <w:pPr>
        <w:pStyle w:val="BodyText"/>
        <w:spacing w:before="5"/>
        <w:rPr>
          <w:b/>
          <w:sz w:val="20"/>
        </w:rPr>
      </w:pPr>
    </w:p>
    <w:p>
      <w:pPr>
        <w:spacing w:line="288" w:lineRule="auto" w:before="0"/>
        <w:ind w:left="99" w:right="283" w:firstLine="0"/>
        <w:jc w:val="left"/>
        <w:rPr>
          <w:sz w:val="19"/>
        </w:rPr>
      </w:pPr>
      <w:r>
        <w:rPr>
          <w:i/>
          <w:color w:val="6E6158"/>
          <w:spacing w:val="-2"/>
          <w:sz w:val="20"/>
        </w:rPr>
        <w:t>Coachella</w:t>
      </w:r>
      <w:r>
        <w:rPr>
          <w:i/>
          <w:color w:val="6E6158"/>
          <w:spacing w:val="-5"/>
          <w:sz w:val="20"/>
        </w:rPr>
        <w:t> </w:t>
      </w:r>
      <w:r>
        <w:rPr>
          <w:i/>
          <w:color w:val="6E6158"/>
          <w:spacing w:val="-2"/>
          <w:sz w:val="20"/>
        </w:rPr>
        <w:t>Valley</w:t>
      </w:r>
      <w:r>
        <w:rPr>
          <w:i/>
          <w:color w:val="6E6158"/>
          <w:spacing w:val="-5"/>
          <w:sz w:val="20"/>
        </w:rPr>
        <w:t> </w:t>
      </w:r>
      <w:r>
        <w:rPr>
          <w:i/>
          <w:color w:val="6E6158"/>
          <w:spacing w:val="-2"/>
          <w:sz w:val="20"/>
        </w:rPr>
        <w:t>Water</w:t>
      </w:r>
      <w:r>
        <w:rPr>
          <w:i/>
          <w:color w:val="6E6158"/>
          <w:spacing w:val="-5"/>
          <w:sz w:val="20"/>
        </w:rPr>
        <w:t> </w:t>
      </w:r>
      <w:r>
        <w:rPr>
          <w:i/>
          <w:color w:val="6E6158"/>
          <w:spacing w:val="-2"/>
          <w:sz w:val="20"/>
        </w:rPr>
        <w:t>District</w:t>
      </w:r>
      <w:r>
        <w:rPr>
          <w:i/>
          <w:color w:val="6E6158"/>
          <w:spacing w:val="-5"/>
          <w:sz w:val="20"/>
        </w:rPr>
        <w:t> </w:t>
      </w:r>
      <w:r>
        <w:rPr>
          <w:i/>
          <w:color w:val="6E6158"/>
          <w:spacing w:val="-2"/>
          <w:sz w:val="20"/>
        </w:rPr>
        <w:t>v.</w:t>
      </w:r>
      <w:r>
        <w:rPr>
          <w:i/>
          <w:color w:val="6E6158"/>
          <w:spacing w:val="-5"/>
          <w:sz w:val="20"/>
        </w:rPr>
        <w:t> </w:t>
      </w:r>
      <w:r>
        <w:rPr>
          <w:i/>
          <w:color w:val="6E6158"/>
          <w:spacing w:val="-2"/>
          <w:sz w:val="20"/>
        </w:rPr>
        <w:t>Agua</w:t>
      </w:r>
      <w:r>
        <w:rPr>
          <w:i/>
          <w:color w:val="6E6158"/>
          <w:spacing w:val="-5"/>
          <w:sz w:val="20"/>
        </w:rPr>
        <w:t> </w:t>
      </w:r>
      <w:r>
        <w:rPr>
          <w:i/>
          <w:color w:val="6E6158"/>
          <w:spacing w:val="-2"/>
          <w:sz w:val="20"/>
        </w:rPr>
        <w:t>Caliente</w:t>
      </w:r>
      <w:r>
        <w:rPr>
          <w:i/>
          <w:color w:val="6E6158"/>
          <w:spacing w:val="-5"/>
          <w:sz w:val="20"/>
        </w:rPr>
        <w:t> </w:t>
      </w:r>
      <w:r>
        <w:rPr>
          <w:i/>
          <w:color w:val="6E6158"/>
          <w:spacing w:val="-2"/>
          <w:sz w:val="20"/>
        </w:rPr>
        <w:t>Band</w:t>
      </w:r>
      <w:r>
        <w:rPr>
          <w:i/>
          <w:color w:val="6E6158"/>
          <w:spacing w:val="-5"/>
          <w:sz w:val="20"/>
        </w:rPr>
        <w:t> </w:t>
      </w:r>
      <w:r>
        <w:rPr>
          <w:i/>
          <w:color w:val="6E6158"/>
          <w:spacing w:val="-2"/>
          <w:sz w:val="20"/>
        </w:rPr>
        <w:t>of</w:t>
      </w:r>
      <w:r>
        <w:rPr>
          <w:i/>
          <w:color w:val="6E6158"/>
          <w:spacing w:val="-5"/>
          <w:sz w:val="20"/>
        </w:rPr>
        <w:t> </w:t>
      </w:r>
      <w:r>
        <w:rPr>
          <w:i/>
          <w:color w:val="6E6158"/>
          <w:spacing w:val="-2"/>
          <w:sz w:val="20"/>
        </w:rPr>
        <w:t>Cahuilla</w:t>
      </w:r>
      <w:r>
        <w:rPr>
          <w:i/>
          <w:color w:val="6E6158"/>
          <w:spacing w:val="-5"/>
          <w:sz w:val="20"/>
        </w:rPr>
        <w:t> </w:t>
      </w:r>
      <w:r>
        <w:rPr>
          <w:i/>
          <w:color w:val="6E6158"/>
          <w:spacing w:val="-2"/>
          <w:sz w:val="20"/>
        </w:rPr>
        <w:t>Indians</w:t>
      </w:r>
      <w:r>
        <w:rPr>
          <w:color w:val="6E6158"/>
          <w:spacing w:val="-2"/>
          <w:sz w:val="19"/>
        </w:rPr>
        <w:t>, United States </w:t>
      </w:r>
      <w:r>
        <w:rPr>
          <w:color w:val="6E6158"/>
          <w:sz w:val="19"/>
        </w:rPr>
        <w:t>Supreme Court Case Nos. 17-40, -42.</w:t>
      </w:r>
    </w:p>
    <w:p>
      <w:pPr>
        <w:spacing w:before="127"/>
        <w:ind w:left="99" w:right="0" w:firstLine="0"/>
        <w:jc w:val="left"/>
        <w:rPr>
          <w:sz w:val="19"/>
        </w:rPr>
      </w:pPr>
      <w:r>
        <w:rPr>
          <w:i/>
          <w:color w:val="6E6158"/>
          <w:sz w:val="20"/>
        </w:rPr>
        <w:t>United</w:t>
      </w:r>
      <w:r>
        <w:rPr>
          <w:i/>
          <w:color w:val="6E6158"/>
          <w:spacing w:val="-14"/>
          <w:sz w:val="20"/>
        </w:rPr>
        <w:t> </w:t>
      </w:r>
      <w:r>
        <w:rPr>
          <w:i/>
          <w:color w:val="6E6158"/>
          <w:sz w:val="20"/>
        </w:rPr>
        <w:t>States</w:t>
      </w:r>
      <w:r>
        <w:rPr>
          <w:i/>
          <w:color w:val="6E6158"/>
          <w:spacing w:val="-13"/>
          <w:sz w:val="20"/>
        </w:rPr>
        <w:t> </w:t>
      </w:r>
      <w:r>
        <w:rPr>
          <w:i/>
          <w:color w:val="6E6158"/>
          <w:sz w:val="20"/>
        </w:rPr>
        <w:t>v.</w:t>
      </w:r>
      <w:r>
        <w:rPr>
          <w:i/>
          <w:color w:val="6E6158"/>
          <w:spacing w:val="-13"/>
          <w:sz w:val="20"/>
        </w:rPr>
        <w:t> </w:t>
      </w:r>
      <w:r>
        <w:rPr>
          <w:i/>
          <w:color w:val="6E6158"/>
          <w:sz w:val="20"/>
        </w:rPr>
        <w:t>United</w:t>
      </w:r>
      <w:r>
        <w:rPr>
          <w:i/>
          <w:color w:val="6E6158"/>
          <w:spacing w:val="-13"/>
          <w:sz w:val="20"/>
        </w:rPr>
        <w:t> </w:t>
      </w:r>
      <w:r>
        <w:rPr>
          <w:i/>
          <w:color w:val="6E6158"/>
          <w:sz w:val="20"/>
        </w:rPr>
        <w:t>States</w:t>
      </w:r>
      <w:r>
        <w:rPr>
          <w:i/>
          <w:color w:val="6E6158"/>
          <w:spacing w:val="-13"/>
          <w:sz w:val="20"/>
        </w:rPr>
        <w:t> </w:t>
      </w:r>
      <w:r>
        <w:rPr>
          <w:i/>
          <w:color w:val="6E6158"/>
          <w:sz w:val="20"/>
        </w:rPr>
        <w:t>Board</w:t>
      </w:r>
      <w:r>
        <w:rPr>
          <w:i/>
          <w:color w:val="6E6158"/>
          <w:spacing w:val="-13"/>
          <w:sz w:val="20"/>
        </w:rPr>
        <w:t> </w:t>
      </w:r>
      <w:r>
        <w:rPr>
          <w:i/>
          <w:color w:val="6E6158"/>
          <w:sz w:val="20"/>
        </w:rPr>
        <w:t>of</w:t>
      </w:r>
      <w:r>
        <w:rPr>
          <w:i/>
          <w:color w:val="6E6158"/>
          <w:spacing w:val="-13"/>
          <w:sz w:val="20"/>
        </w:rPr>
        <w:t> </w:t>
      </w:r>
      <w:r>
        <w:rPr>
          <w:i/>
          <w:color w:val="6E6158"/>
          <w:sz w:val="20"/>
        </w:rPr>
        <w:t>Water</w:t>
      </w:r>
      <w:r>
        <w:rPr>
          <w:i/>
          <w:color w:val="6E6158"/>
          <w:spacing w:val="-13"/>
          <w:sz w:val="20"/>
        </w:rPr>
        <w:t> </w:t>
      </w:r>
      <w:r>
        <w:rPr>
          <w:i/>
          <w:color w:val="6E6158"/>
          <w:sz w:val="20"/>
        </w:rPr>
        <w:t>Commissioners</w:t>
      </w:r>
      <w:r>
        <w:rPr>
          <w:color w:val="6E6158"/>
          <w:sz w:val="19"/>
        </w:rPr>
        <w:t>,</w:t>
      </w:r>
      <w:r>
        <w:rPr>
          <w:color w:val="6E6158"/>
          <w:spacing w:val="-10"/>
          <w:sz w:val="19"/>
        </w:rPr>
        <w:t> </w:t>
      </w:r>
      <w:r>
        <w:rPr>
          <w:color w:val="6E6158"/>
          <w:sz w:val="19"/>
        </w:rPr>
        <w:t>893</w:t>
      </w:r>
      <w:r>
        <w:rPr>
          <w:color w:val="6E6158"/>
          <w:spacing w:val="-10"/>
          <w:sz w:val="19"/>
        </w:rPr>
        <w:t> </w:t>
      </w:r>
      <w:r>
        <w:rPr>
          <w:color w:val="6E6158"/>
          <w:sz w:val="19"/>
        </w:rPr>
        <w:t>F3d</w:t>
      </w:r>
      <w:r>
        <w:rPr>
          <w:color w:val="6E6158"/>
          <w:spacing w:val="-10"/>
          <w:sz w:val="19"/>
        </w:rPr>
        <w:t> </w:t>
      </w:r>
      <w:r>
        <w:rPr>
          <w:color w:val="6E6158"/>
          <w:sz w:val="19"/>
        </w:rPr>
        <w:t>578</w:t>
      </w:r>
      <w:r>
        <w:rPr>
          <w:color w:val="6E6158"/>
          <w:spacing w:val="-10"/>
          <w:sz w:val="19"/>
        </w:rPr>
        <w:t> </w:t>
      </w:r>
      <w:r>
        <w:rPr>
          <w:color w:val="6E6158"/>
          <w:sz w:val="19"/>
        </w:rPr>
        <w:t>(9th</w:t>
      </w:r>
      <w:r>
        <w:rPr>
          <w:color w:val="6E6158"/>
          <w:spacing w:val="-10"/>
          <w:sz w:val="19"/>
        </w:rPr>
        <w:t> </w:t>
      </w:r>
      <w:r>
        <w:rPr>
          <w:color w:val="6E6158"/>
          <w:sz w:val="19"/>
        </w:rPr>
        <w:t>Cir.</w:t>
      </w:r>
      <w:r>
        <w:rPr>
          <w:color w:val="6E6158"/>
          <w:spacing w:val="-10"/>
          <w:sz w:val="19"/>
        </w:rPr>
        <w:t> </w:t>
      </w:r>
      <w:r>
        <w:rPr>
          <w:color w:val="6E6158"/>
          <w:spacing w:val="-2"/>
          <w:sz w:val="19"/>
        </w:rPr>
        <w:t>2018)</w:t>
      </w:r>
    </w:p>
    <w:p>
      <w:pPr>
        <w:pStyle w:val="BodyText"/>
        <w:spacing w:before="16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rPr>
          <w:b/>
        </w:rPr>
      </w:pPr>
    </w:p>
    <w:p>
      <w:pPr>
        <w:pStyle w:val="BodyText"/>
        <w:spacing w:line="422" w:lineRule="auto"/>
        <w:ind w:left="99" w:right="3344"/>
      </w:pPr>
      <w:r>
        <w:rPr>
          <w:color w:val="6E6158"/>
        </w:rPr>
        <w:t>Board of Directors, The Great Basin Institute, 2026-Present Western States Water Council Executive Committee, 2019-</w:t>
      </w:r>
      <w:r>
        <w:rPr>
          <w:color w:val="6E6158"/>
        </w:rPr>
        <w:t>2023 Western States Water Council, Legal Committee, 2019-2023</w:t>
      </w:r>
    </w:p>
    <w:p>
      <w:pPr>
        <w:pStyle w:val="BodyText"/>
        <w:spacing w:line="420" w:lineRule="auto"/>
        <w:ind w:left="99" w:right="283"/>
      </w:pPr>
      <w:r>
        <w:rPr>
          <w:color w:val="6E6158"/>
        </w:rPr>
        <w:t>Western States Water Council, Non-Tribal Federal Water Needs Subcommittee, 2018-</w:t>
      </w:r>
      <w:r>
        <w:rPr>
          <w:color w:val="6E6158"/>
        </w:rPr>
        <w:t>Present Western Regional Partnership, Water Security Committee, 2019-2023</w:t>
      </w:r>
    </w:p>
    <w:p>
      <w:pPr>
        <w:pStyle w:val="BodyText"/>
        <w:spacing w:line="427" w:lineRule="auto"/>
        <w:ind w:left="99" w:right="283"/>
      </w:pPr>
      <w:r>
        <w:rPr>
          <w:color w:val="6E6158"/>
        </w:rPr>
        <w:t>Nevada Supreme Court Commission to Study the Adjudication of Water Law Cases, 2021-</w:t>
      </w:r>
      <w:r>
        <w:rPr>
          <w:color w:val="6E6158"/>
        </w:rPr>
        <w:t>2023</w:t>
      </w:r>
      <w:r>
        <w:rPr>
          <w:color w:val="6E6158"/>
          <w:spacing w:val="40"/>
        </w:rPr>
        <w:t> </w:t>
      </w:r>
      <w:r>
        <w:rPr>
          <w:color w:val="6E6158"/>
        </w:rPr>
        <w:t>Board of Directors, Walker Basin Conservancy, 2023-present</w:t>
      </w:r>
    </w:p>
    <w:p>
      <w:pPr>
        <w:pStyle w:val="BodyText"/>
        <w:spacing w:line="292" w:lineRule="auto"/>
        <w:ind w:left="99" w:right="283"/>
      </w:pPr>
      <w:r>
        <w:rPr>
          <w:color w:val="6E6158"/>
        </w:rPr>
        <w:t>Conference of Western Attorneys General, Western Attorney General Legal Action Committee,</w:t>
      </w:r>
      <w:r>
        <w:rPr>
          <w:color w:val="6E6158"/>
          <w:spacing w:val="40"/>
        </w:rPr>
        <w:t> </w:t>
      </w:r>
      <w:r>
        <w:rPr>
          <w:color w:val="6E6158"/>
        </w:rPr>
        <w:t>July 2014-April 2018</w:t>
      </w:r>
    </w:p>
    <w:p>
      <w:pPr>
        <w:pStyle w:val="BodyText"/>
        <w:spacing w:before="102"/>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7"/>
        <w:rPr>
          <w:b/>
        </w:rPr>
      </w:pPr>
    </w:p>
    <w:p>
      <w:pPr>
        <w:pStyle w:val="BodyText"/>
        <w:spacing w:line="302" w:lineRule="auto" w:before="1"/>
        <w:ind w:left="99" w:right="283"/>
      </w:pPr>
      <w:r>
        <w:rPr>
          <w:color w:val="6E6158"/>
        </w:rPr>
        <w:t>Featured, “</w:t>
      </w:r>
      <w:hyperlink r:id="rId11">
        <w:r>
          <w:rPr>
            <w:color w:val="F5821F"/>
          </w:rPr>
          <w:t>State punts plan to curtail water in Nevada’s largest river basin amid severe drought</w:t>
        </w:r>
      </w:hyperlink>
      <w:r>
        <w:rPr>
          <w:color w:val="6E6158"/>
        </w:rPr>
        <w:t>,”</w:t>
      </w:r>
      <w:r>
        <w:rPr>
          <w:color w:val="6E6158"/>
          <w:spacing w:val="40"/>
        </w:rPr>
        <w:t> </w:t>
      </w:r>
      <w:r>
        <w:rPr>
          <w:color w:val="6E6158"/>
        </w:rPr>
        <w:t>The Nevada Independent, May 13, 2026</w:t>
      </w:r>
    </w:p>
    <w:p>
      <w:pPr>
        <w:pStyle w:val="BodyText"/>
        <w:spacing w:line="292" w:lineRule="auto" w:before="112"/>
        <w:ind w:left="99" w:right="283"/>
      </w:pPr>
      <w:r>
        <w:rPr>
          <w:color w:val="6E6158"/>
        </w:rPr>
        <w:t>Author, “</w:t>
      </w:r>
      <w:hyperlink r:id="rId12">
        <w:r>
          <w:rPr>
            <w:color w:val="F5821F"/>
          </w:rPr>
          <w:t>Lithium, Critical Minerals, and the Mine-To-Market Regulatory Challenge in </w:t>
        </w:r>
        <w:r>
          <w:rPr>
            <w:color w:val="F5821F"/>
          </w:rPr>
          <w:t>Nevada</w:t>
        </w:r>
      </w:hyperlink>
      <w:r>
        <w:rPr>
          <w:color w:val="6E6158"/>
        </w:rPr>
        <w:t>,” Nevada Lawyer, April 2026</w:t>
      </w:r>
    </w:p>
    <w:p>
      <w:pPr>
        <w:pStyle w:val="BodyText"/>
        <w:spacing w:line="292" w:lineRule="auto" w:before="132"/>
        <w:ind w:left="99" w:right="283"/>
      </w:pPr>
      <w:r>
        <w:rPr>
          <w:color w:val="6E6158"/>
        </w:rPr>
        <w:t>Presenter, “Resolving Water Rights Disputes,” Nevada Land and Water Law: Ownership </w:t>
      </w:r>
      <w:r>
        <w:rPr>
          <w:color w:val="6E6158"/>
        </w:rPr>
        <w:t>and Access CLE, January 2026</w:t>
      </w:r>
    </w:p>
    <w:p>
      <w:pPr>
        <w:pStyle w:val="BodyText"/>
        <w:spacing w:line="292" w:lineRule="auto" w:before="123"/>
        <w:ind w:left="99" w:right="283"/>
      </w:pPr>
      <w:r>
        <w:rPr>
          <w:color w:val="6E6158"/>
        </w:rPr>
        <w:t>Author, “</w:t>
      </w:r>
      <w:hyperlink r:id="rId13">
        <w:r>
          <w:rPr>
            <w:color w:val="F5821F"/>
          </w:rPr>
          <w:t>Too Many Rights, Not Enough Water: The Future of Nevada’s Humboldt River</w:t>
        </w:r>
      </w:hyperlink>
      <w:r>
        <w:rPr>
          <w:color w:val="6E6158"/>
        </w:rPr>
        <w:t>,” Fennemore Blog, December 18, 2025</w:t>
      </w:r>
    </w:p>
    <w:p>
      <w:pPr>
        <w:pStyle w:val="BodyText"/>
        <w:spacing w:line="420" w:lineRule="auto" w:before="132"/>
        <w:ind w:left="99" w:right="1359"/>
      </w:pPr>
      <w:r>
        <w:rPr>
          <w:color w:val="6E6158"/>
        </w:rPr>
        <w:t>Interview, “</w:t>
      </w:r>
      <w:hyperlink r:id="rId14">
        <w:r>
          <w:rPr>
            <w:color w:val="F5821F"/>
          </w:rPr>
          <w:t>Why did the U.S. Mint stop making pennies?</w:t>
        </w:r>
      </w:hyperlink>
      <w:r>
        <w:rPr>
          <w:color w:val="6E6158"/>
        </w:rPr>
        <w:t>,” FOX11, November 21, </w:t>
      </w:r>
      <w:r>
        <w:rPr>
          <w:color w:val="6E6158"/>
        </w:rPr>
        <w:t>2025 Co-Presenter, “Stormwater Runoff Law and Disputes A-Z,” NBI, November 18, 2025</w:t>
      </w:r>
    </w:p>
    <w:p>
      <w:pPr>
        <w:pStyle w:val="BodyText"/>
        <w:spacing w:line="292" w:lineRule="auto"/>
        <w:ind w:left="99" w:right="160"/>
      </w:pPr>
      <w:r>
        <w:rPr>
          <w:color w:val="6E6158"/>
        </w:rPr>
        <w:t>Author, “Nevada launches landmark water rights retirement program to combat overuse,” </w:t>
      </w:r>
      <w:r>
        <w:rPr>
          <w:color w:val="6E6158"/>
        </w:rPr>
        <w:t>Las Vegas Review-Journal, August 1, 2025</w:t>
      </w:r>
    </w:p>
    <w:p>
      <w:pPr>
        <w:pStyle w:val="BodyText"/>
        <w:spacing w:line="292" w:lineRule="auto" w:before="129"/>
        <w:ind w:left="99" w:right="283"/>
      </w:pPr>
      <w:r>
        <w:rPr>
          <w:color w:val="6E6158"/>
        </w:rPr>
        <w:t>Presenter, “Stormwater Runoff Hot Topics and Case Law Updates” Live Online Seminar, June 3, </w:t>
      </w:r>
      <w:r>
        <w:rPr>
          <w:color w:val="6E6158"/>
          <w:spacing w:val="-4"/>
        </w:rPr>
        <w:t>2025</w:t>
      </w:r>
    </w:p>
    <w:p>
      <w:pPr>
        <w:pStyle w:val="BodyText"/>
        <w:spacing w:line="292" w:lineRule="auto" w:before="124"/>
        <w:ind w:left="99" w:right="283"/>
      </w:pPr>
      <w:r>
        <w:rPr>
          <w:color w:val="6E6158"/>
        </w:rPr>
        <w:t>Co-Author, “Assembly Bill 104: Nevada Adopts Water Rights Retirement Program,” Western Water Law and Policy Reporter, June 2025</w:t>
      </w:r>
    </w:p>
    <w:p>
      <w:pPr>
        <w:pStyle w:val="BodyText"/>
        <w:spacing w:line="292" w:lineRule="auto" w:before="131"/>
        <w:ind w:left="99" w:right="283"/>
      </w:pPr>
      <w:r>
        <w:rPr>
          <w:color w:val="6E6158"/>
        </w:rPr>
        <w:t>Co-Author, “Lower Colorado States Call for Improvements to Glen Canyon Dam,” </w:t>
      </w:r>
      <w:r>
        <w:rPr>
          <w:color w:val="6E6158"/>
        </w:rPr>
        <w:t>California Water Law &amp; Policy Reporter, June 2025</w:t>
      </w:r>
    </w:p>
    <w:p>
      <w:pPr>
        <w:pStyle w:val="BodyText"/>
        <w:spacing w:line="302" w:lineRule="auto" w:before="123"/>
        <w:ind w:left="99" w:right="283"/>
      </w:pPr>
      <w:r>
        <w:rPr>
          <w:color w:val="6E6158"/>
        </w:rPr>
        <w:t>Author, “</w:t>
      </w:r>
      <w:hyperlink r:id="rId15">
        <w:r>
          <w:rPr>
            <w:color w:val="F5821F"/>
          </w:rPr>
          <w:t>How Halting Penny Production Could Reshape Natural Resource Policies</w:t>
        </w:r>
      </w:hyperlink>
      <w:r>
        <w:rPr>
          <w:color w:val="6E6158"/>
        </w:rPr>
        <w:t>,” </w:t>
      </w:r>
      <w:r>
        <w:rPr>
          <w:color w:val="6E6158"/>
        </w:rPr>
        <w:t>Fennemore Blog, May 23, 2025</w:t>
      </w:r>
    </w:p>
    <w:p>
      <w:pPr>
        <w:pStyle w:val="BodyText"/>
        <w:spacing w:line="292" w:lineRule="auto" w:before="113"/>
        <w:ind w:left="99" w:right="283"/>
      </w:pPr>
      <w:r>
        <w:rPr>
          <w:color w:val="6E6158"/>
        </w:rPr>
        <w:t>Co-Author, “Lower Colorado States Call for Improvements to Glen Canyon Dam,” Western Water Law &amp; Policy Reporter, May 2025</w:t>
      </w:r>
    </w:p>
    <w:p>
      <w:pPr>
        <w:pStyle w:val="BodyText"/>
        <w:spacing w:after="0" w:line="292" w:lineRule="auto"/>
        <w:sectPr>
          <w:pgSz w:w="12240" w:h="15840"/>
          <w:pgMar w:top="580" w:bottom="280" w:left="1440" w:right="1440"/>
        </w:sectPr>
      </w:pPr>
    </w:p>
    <w:p>
      <w:pPr>
        <w:pStyle w:val="BodyText"/>
        <w:spacing w:line="297" w:lineRule="auto" w:before="83"/>
        <w:ind w:left="99" w:right="376"/>
      </w:pPr>
      <w:r>
        <w:rPr>
          <w:color w:val="6E6158"/>
        </w:rPr>
        <w:t>Co-Author, “Additional Funding From the US Bureau of Reclamation Announced for </w:t>
      </w:r>
      <w:r>
        <w:rPr>
          <w:color w:val="6E6158"/>
        </w:rPr>
        <w:t>Southern Nevada Water Authority Conservation Initiatives,” Western Water Law and Policy Reporter, March 2025</w:t>
      </w:r>
    </w:p>
    <w:p>
      <w:pPr>
        <w:pStyle w:val="BodyText"/>
        <w:spacing w:line="292" w:lineRule="auto" w:before="118"/>
        <w:ind w:left="99" w:right="283"/>
      </w:pPr>
      <w:r>
        <w:rPr>
          <w:color w:val="6E6158"/>
        </w:rPr>
        <w:t>Interview, “</w:t>
      </w:r>
      <w:hyperlink r:id="rId16">
        <w:r>
          <w:rPr>
            <w:color w:val="F5821F"/>
          </w:rPr>
          <w:t>Thursday Thoughts with Micheline Nadeau Fairbank: Harnessing Nevada’s </w:t>
        </w:r>
        <w:r>
          <w:rPr>
            <w:color w:val="F5821F"/>
          </w:rPr>
          <w:t>Lithium</w:t>
        </w:r>
      </w:hyperlink>
      <w:r>
        <w:rPr>
          <w:color w:val="F5821F"/>
          <w:spacing w:val="40"/>
        </w:rPr>
        <w:t> </w:t>
      </w:r>
      <w:hyperlink r:id="rId16">
        <w:r>
          <w:rPr>
            <w:color w:val="F5821F"/>
          </w:rPr>
          <w:t>Potential</w:t>
        </w:r>
      </w:hyperlink>
      <w:r>
        <w:rPr>
          <w:color w:val="6E6158"/>
        </w:rPr>
        <w:t>,” Fennemore Blog, May 2, 2024</w:t>
      </w:r>
    </w:p>
    <w:p>
      <w:pPr>
        <w:pStyle w:val="BodyText"/>
        <w:spacing w:line="302" w:lineRule="auto" w:before="124"/>
        <w:ind w:left="99" w:right="283"/>
      </w:pPr>
      <w:r>
        <w:rPr>
          <w:color w:val="6E6158"/>
        </w:rPr>
        <w:t>Featuring, “People: Micheline Fairbank joins the Fennemore Craig Business Litigation and </w:t>
      </w:r>
      <w:r>
        <w:rPr>
          <w:color w:val="6E6158"/>
        </w:rPr>
        <w:t>Natural</w:t>
      </w:r>
      <w:r>
        <w:rPr>
          <w:color w:val="6E6158"/>
          <w:spacing w:val="40"/>
        </w:rPr>
        <w:t> </w:t>
      </w:r>
      <w:r>
        <w:rPr>
          <w:color w:val="6E6158"/>
        </w:rPr>
        <w:t>Resources practice groups,” Northern Nevada Business Weekly, May 29, 2023</w:t>
      </w:r>
    </w:p>
    <w:p>
      <w:pPr>
        <w:pStyle w:val="BodyText"/>
        <w:spacing w:line="292" w:lineRule="auto" w:before="112"/>
        <w:ind w:left="99" w:right="283"/>
      </w:pPr>
      <w:hyperlink r:id="rId17">
        <w:r>
          <w:rPr>
            <w:color w:val="F5821F"/>
          </w:rPr>
          <w:t>Interview, “I always love how there is something new to learn every time and, in every case, and</w:t>
        </w:r>
      </w:hyperlink>
      <w:r>
        <w:rPr>
          <w:color w:val="F5821F"/>
          <w:spacing w:val="40"/>
        </w:rPr>
        <w:t> </w:t>
      </w:r>
      <w:hyperlink r:id="rId17">
        <w:r>
          <w:rPr>
            <w:color w:val="F5821F"/>
          </w:rPr>
          <w:t>situation,” Fennemore Blog, May 11, 2023</w:t>
        </w:r>
      </w:hyperlink>
    </w:p>
    <w:p>
      <w:pPr>
        <w:pStyle w:val="BodyText"/>
        <w:spacing w:line="302" w:lineRule="auto" w:before="124"/>
        <w:ind w:left="99" w:right="134"/>
      </w:pPr>
      <w:r>
        <w:rPr>
          <w:color w:val="6E6158"/>
        </w:rPr>
        <w:t>State Groundwater Management and Federal Reserved Water Rights: What’s Next? ABA </w:t>
      </w:r>
      <w:r>
        <w:rPr>
          <w:color w:val="6E6158"/>
        </w:rPr>
        <w:t>Section</w:t>
      </w:r>
      <w:r>
        <w:rPr>
          <w:color w:val="6E6158"/>
          <w:spacing w:val="80"/>
        </w:rPr>
        <w:t> </w:t>
      </w:r>
      <w:r>
        <w:rPr>
          <w:color w:val="6E6158"/>
        </w:rPr>
        <w:t>of</w:t>
      </w:r>
      <w:r>
        <w:rPr>
          <w:color w:val="6E6158"/>
          <w:spacing w:val="36"/>
        </w:rPr>
        <w:t> </w:t>
      </w:r>
      <w:r>
        <w:rPr>
          <w:color w:val="6E6158"/>
        </w:rPr>
        <w:t>Environment,</w:t>
      </w:r>
      <w:r>
        <w:rPr>
          <w:color w:val="6E6158"/>
          <w:spacing w:val="36"/>
        </w:rPr>
        <w:t> </w:t>
      </w:r>
      <w:r>
        <w:rPr>
          <w:color w:val="6E6158"/>
        </w:rPr>
        <w:t>Energy,</w:t>
      </w:r>
      <w:r>
        <w:rPr>
          <w:color w:val="6E6158"/>
          <w:spacing w:val="36"/>
        </w:rPr>
        <w:t> </w:t>
      </w:r>
      <w:r>
        <w:rPr>
          <w:color w:val="6E6158"/>
        </w:rPr>
        <w:t>and</w:t>
      </w:r>
      <w:r>
        <w:rPr>
          <w:color w:val="6E6158"/>
          <w:spacing w:val="36"/>
        </w:rPr>
        <w:t> </w:t>
      </w:r>
      <w:r>
        <w:rPr>
          <w:color w:val="6E6158"/>
        </w:rPr>
        <w:t>Natural</w:t>
      </w:r>
      <w:r>
        <w:rPr>
          <w:color w:val="6E6158"/>
          <w:spacing w:val="36"/>
        </w:rPr>
        <w:t> </w:t>
      </w:r>
      <w:r>
        <w:rPr>
          <w:color w:val="6E6158"/>
        </w:rPr>
        <w:t>Resources</w:t>
      </w:r>
      <w:r>
        <w:rPr>
          <w:color w:val="6E6158"/>
          <w:spacing w:val="36"/>
        </w:rPr>
        <w:t> </w:t>
      </w:r>
      <w:r>
        <w:rPr>
          <w:color w:val="6E6158"/>
        </w:rPr>
        <w:t>Water</w:t>
      </w:r>
      <w:r>
        <w:rPr>
          <w:color w:val="6E6158"/>
          <w:spacing w:val="36"/>
        </w:rPr>
        <w:t> </w:t>
      </w:r>
      <w:r>
        <w:rPr>
          <w:color w:val="6E6158"/>
        </w:rPr>
        <w:t>Resources</w:t>
      </w:r>
      <w:r>
        <w:rPr>
          <w:color w:val="6E6158"/>
          <w:spacing w:val="36"/>
        </w:rPr>
        <w:t> </w:t>
      </w:r>
      <w:r>
        <w:rPr>
          <w:color w:val="6E6158"/>
        </w:rPr>
        <w:t>Committee</w:t>
      </w:r>
      <w:r>
        <w:rPr>
          <w:color w:val="6E6158"/>
          <w:spacing w:val="36"/>
        </w:rPr>
        <w:t> </w:t>
      </w:r>
      <w:r>
        <w:rPr>
          <w:color w:val="6E6158"/>
        </w:rPr>
        <w:t>Newsletter,</w:t>
      </w:r>
      <w:r>
        <w:rPr>
          <w:color w:val="6E6158"/>
          <w:spacing w:val="36"/>
        </w:rPr>
        <w:t> </w:t>
      </w:r>
      <w:r>
        <w:rPr>
          <w:color w:val="6E6158"/>
        </w:rPr>
        <w:t>March</w:t>
      </w:r>
    </w:p>
    <w:p>
      <w:pPr>
        <w:pStyle w:val="BodyText"/>
        <w:spacing w:line="224" w:lineRule="exact"/>
        <w:ind w:left="99"/>
      </w:pPr>
      <w:r>
        <w:rPr>
          <w:color w:val="6E6158"/>
          <w:spacing w:val="-4"/>
        </w:rPr>
        <w:t>2018</w:t>
      </w:r>
    </w:p>
    <w:p>
      <w:pPr>
        <w:pStyle w:val="BodyText"/>
        <w:spacing w:before="163"/>
        <w:rPr>
          <w:sz w:val="24"/>
        </w:rPr>
      </w:pPr>
    </w:p>
    <w:p>
      <w:pPr>
        <w:pStyle w:val="Heading1"/>
      </w:pPr>
      <w:r>
        <w:rPr>
          <w:color w:val="FF8100"/>
          <w:spacing w:val="-2"/>
        </w:rPr>
        <w:t>ADMISSIONS</w:t>
      </w:r>
    </w:p>
    <w:p>
      <w:pPr>
        <w:pStyle w:val="BodyText"/>
        <w:spacing w:before="27"/>
        <w:rPr>
          <w:b/>
        </w:rPr>
      </w:pPr>
    </w:p>
    <w:p>
      <w:pPr>
        <w:pStyle w:val="BodyText"/>
        <w:spacing w:line="422" w:lineRule="auto"/>
        <w:ind w:left="99" w:right="8344"/>
        <w:jc w:val="both"/>
      </w:pPr>
      <w:r>
        <w:rPr>
          <w:color w:val="6E6158"/>
          <w:spacing w:val="-2"/>
        </w:rPr>
        <w:t>California Colorado Nevada</w:t>
      </w:r>
    </w:p>
    <w:p>
      <w:pPr>
        <w:pStyle w:val="BodyText"/>
        <w:spacing w:line="232" w:lineRule="exact"/>
        <w:ind w:left="99"/>
      </w:pPr>
      <w:r>
        <w:rPr>
          <w:color w:val="6E6158"/>
        </w:rPr>
        <w:t>United</w:t>
      </w:r>
      <w:r>
        <w:rPr>
          <w:color w:val="6E6158"/>
          <w:spacing w:val="11"/>
        </w:rPr>
        <w:t> </w:t>
      </w:r>
      <w:r>
        <w:rPr>
          <w:color w:val="6E6158"/>
        </w:rPr>
        <w:t>States</w:t>
      </w:r>
      <w:r>
        <w:rPr>
          <w:color w:val="6E6158"/>
          <w:spacing w:val="11"/>
        </w:rPr>
        <w:t> </w:t>
      </w:r>
      <w:r>
        <w:rPr>
          <w:color w:val="6E6158"/>
        </w:rPr>
        <w:t>District</w:t>
      </w:r>
      <w:r>
        <w:rPr>
          <w:color w:val="6E6158"/>
          <w:spacing w:val="12"/>
        </w:rPr>
        <w:t> </w:t>
      </w:r>
      <w:r>
        <w:rPr>
          <w:color w:val="6E6158"/>
        </w:rPr>
        <w:t>Court,</w:t>
      </w:r>
      <w:r>
        <w:rPr>
          <w:color w:val="6E6158"/>
          <w:spacing w:val="11"/>
        </w:rPr>
        <w:t> </w:t>
      </w:r>
      <w:r>
        <w:rPr>
          <w:color w:val="6E6158"/>
        </w:rPr>
        <w:t>District</w:t>
      </w:r>
      <w:r>
        <w:rPr>
          <w:color w:val="6E6158"/>
          <w:spacing w:val="11"/>
        </w:rPr>
        <w:t> </w:t>
      </w:r>
      <w:r>
        <w:rPr>
          <w:color w:val="6E6158"/>
        </w:rPr>
        <w:t>of</w:t>
      </w:r>
      <w:r>
        <w:rPr>
          <w:color w:val="6E6158"/>
          <w:spacing w:val="11"/>
        </w:rPr>
        <w:t> </w:t>
      </w:r>
      <w:r>
        <w:rPr>
          <w:color w:val="6E6158"/>
          <w:spacing w:val="-2"/>
        </w:rPr>
        <w:t>Nevada</w:t>
      </w:r>
    </w:p>
    <w:p>
      <w:pPr>
        <w:pStyle w:val="BodyText"/>
        <w:spacing w:line="422" w:lineRule="auto" w:before="174"/>
        <w:ind w:left="99" w:right="3831"/>
      </w:pPr>
      <w:r>
        <w:rPr>
          <w:color w:val="6E6158"/>
        </w:rPr>
        <w:t>United States District Court, Northern District of California United States District Court, Eastern District of California United States District Court, Central District of California United States District Court, Southern District of </w:t>
      </w:r>
      <w:r>
        <w:rPr>
          <w:color w:val="6E6158"/>
        </w:rPr>
        <w:t>California 9th Circuit Court of Appeals</w:t>
      </w:r>
    </w:p>
    <w:p>
      <w:pPr>
        <w:pStyle w:val="BodyText"/>
        <w:spacing w:before="1"/>
        <w:ind w:left="99"/>
      </w:pPr>
      <w:r>
        <w:rPr>
          <w:color w:val="6E6158"/>
        </w:rPr>
        <w:t>United</w:t>
      </w:r>
      <w:r>
        <w:rPr>
          <w:color w:val="6E6158"/>
          <w:spacing w:val="13"/>
        </w:rPr>
        <w:t> </w:t>
      </w:r>
      <w:r>
        <w:rPr>
          <w:color w:val="6E6158"/>
        </w:rPr>
        <w:t>States</w:t>
      </w:r>
      <w:r>
        <w:rPr>
          <w:color w:val="6E6158"/>
          <w:spacing w:val="14"/>
        </w:rPr>
        <w:t> </w:t>
      </w:r>
      <w:r>
        <w:rPr>
          <w:color w:val="6E6158"/>
        </w:rPr>
        <w:t>Supreme</w:t>
      </w:r>
      <w:r>
        <w:rPr>
          <w:color w:val="6E6158"/>
          <w:spacing w:val="14"/>
        </w:rPr>
        <w:t> </w:t>
      </w:r>
      <w:r>
        <w:rPr>
          <w:color w:val="6E6158"/>
          <w:spacing w:val="-2"/>
        </w:rPr>
        <w:t>Court</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Heading2" w:type="paragraph">
    <w:name w:val="Heading 2"/>
    <w:basedOn w:val="Normal"/>
    <w:uiPriority w:val="1"/>
    <w:qFormat/>
    <w:pPr>
      <w:spacing w:before="1"/>
      <w:ind w:left="99"/>
      <w:outlineLvl w:val="2"/>
    </w:pPr>
    <w:rPr>
      <w:rFonts w:ascii="Century Gothic" w:hAnsi="Century Gothic" w:eastAsia="Century Gothic" w:cs="Century Gothic"/>
      <w:b/>
      <w:bCs/>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natural-resources-energy-and-environmental/" TargetMode="External"/><Relationship Id="rId9" Type="http://schemas.openxmlformats.org/officeDocument/2006/relationships/hyperlink" Target="https://www.fennemorelaw.com/contact-us/reno/" TargetMode="External"/><Relationship Id="rId10" Type="http://schemas.openxmlformats.org/officeDocument/2006/relationships/hyperlink" Target="mailto:mfairbank@fennemorelaw.com" TargetMode="External"/><Relationship Id="rId11" Type="http://schemas.openxmlformats.org/officeDocument/2006/relationships/hyperlink" Target="https://thenevadaindependent.com/article/state-punts-plan-to-curtail-water-in-nevadas-largest-river-basin-amid-severe-drought" TargetMode="External"/><Relationship Id="rId12" Type="http://schemas.openxmlformats.org/officeDocument/2006/relationships/hyperlink" Target="https://nvbar.org/wp-content/uploads/NevadaLawyer_April2026_Mine_to_Market.pdf" TargetMode="External"/><Relationship Id="rId13" Type="http://schemas.openxmlformats.org/officeDocument/2006/relationships/hyperlink" Target="https://www.fennemorelaw.com/too-many-rights-not-enough-water-the-future-of-nevadas-humboldt-river/" TargetMode="External"/><Relationship Id="rId14" Type="http://schemas.openxmlformats.org/officeDocument/2006/relationships/hyperlink" Target="https://foxreno.com/news/mornings-on-fox-11-and-arc-reno/why-did-the-us-mint-stop-making-pennies" TargetMode="External"/><Relationship Id="rId15" Type="http://schemas.openxmlformats.org/officeDocument/2006/relationships/hyperlink" Target="https://www.fennemorelaw.com/how-halting-penny-production-could-reshape-natural-resource-policies/" TargetMode="External"/><Relationship Id="rId16" Type="http://schemas.openxmlformats.org/officeDocument/2006/relationships/hyperlink" Target="https://www.fennemorelaw.com/thursday-thoughts-with-micheline-nadeau-fairbank-harnessing-nevadas-lithium-potential/" TargetMode="External"/><Relationship Id="rId17" Type="http://schemas.openxmlformats.org/officeDocument/2006/relationships/hyperlink" Target="https://www.fennemorelaw.com/i-always-love-how-there-is-something-new-to-learn-every-time-and-in-every-case-and-sit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Micheline Nadeau Fairbank - Fennemore</dc:title>
  <dcterms:created xsi:type="dcterms:W3CDTF">2026-08-19T22:55:59Z</dcterms:created>
  <dcterms:modified xsi:type="dcterms:W3CDTF">2026-08-19T22:55:59Z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2026-08-19T00:00:00Z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2026-08-19T00:00:00Z</vt:filetime>
  </property>
  <property fmtid="{D5CDD505-2E9C-101B-9397-08002B2CF9AE}" pid="6" name="Producer">
    <vt:lpwstr>Skia/PDF m151</vt:lpwstr>
  </property>
</Properties>
</file>