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3162935"/>
                <wp:effectExtent l="0" t="0" r="0" b="888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162935"/>
                          <a:chExt cx="6071870" cy="316293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Monica Dell Osso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893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70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line="216" w:lineRule="auto" w:before="0"/>
                                <w:ind w:left="551" w:right="553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MONICA DELL’OSSO</w:t>
                              </w:r>
                            </w:p>
                            <w:p>
                              <w:pPr>
                                <w:spacing w:before="48"/>
                                <w:ind w:left="551" w:right="553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551" w:right="553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Trusts &amp;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Estates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551" w:right="553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Oakland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840" w:val="left" w:leader="none"/>
                                </w:tabs>
                                <w:spacing w:before="54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510.834.6600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 510.834.1928</w:t>
                              </w:r>
                            </w:p>
                            <w:p>
                              <w:pPr>
                                <w:spacing w:before="119"/>
                                <w:ind w:left="551" w:right="553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mdellosso@fennemorelaw.com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49.05pt;mso-position-horizontal-relative:char;mso-position-vertical-relative:line" id="docshapegroup1" coordorigin="0,0" coordsize="9562,4981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557" type="#_x0000_t75" id="docshape3" alt="Monica Dell Osso" stroked="false">
                  <v:imagedata r:id="rId7" o:title=""/>
                </v:shape>
                <v:rect style="position:absolute;left:4784;top:423;width:4777;height:4557" id="docshape4" filled="true" fillcolor="#262424" stroked="false">
                  <v:fill type="solid"/>
                </v:rect>
                <v:shape style="position:absolute;left:5500;top:2587;width:3337;height:505" id="docshape5" coordorigin="5501,2588" coordsize="3337,505" path="m8837,3084l5501,3084,5501,3092,8837,3092,8837,3084xm8837,2588l5501,2588,5501,2596,8837,2596,8837,2588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557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70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line="216" w:lineRule="auto" w:before="0"/>
                          <w:ind w:left="551" w:right="553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MONICA DELL’OSSO</w:t>
                        </w:r>
                      </w:p>
                      <w:p>
                        <w:pPr>
                          <w:spacing w:before="48"/>
                          <w:ind w:left="551" w:right="553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551" w:right="553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Trusts &amp;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Estates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551" w:right="553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Oakland</w:t>
                          </w:r>
                        </w:hyperlink>
                      </w:p>
                      <w:p>
                        <w:pPr>
                          <w:tabs>
                            <w:tab w:pos="1840" w:val="left" w:leader="none"/>
                          </w:tabs>
                          <w:spacing w:before="54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510.834.6600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 510.834.1928</w:t>
                        </w:r>
                      </w:p>
                      <w:p>
                        <w:pPr>
                          <w:spacing w:before="119"/>
                          <w:ind w:left="551" w:right="553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mdellosso@fennemorelaw.com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Heading1"/>
        <w:spacing w:before="63"/>
      </w:pPr>
      <w:r>
        <w:rPr>
          <w:color w:val="FF8100"/>
        </w:rPr>
        <w:t>MONICA</w:t>
      </w:r>
      <w:r>
        <w:rPr>
          <w:color w:val="FF8100"/>
          <w:spacing w:val="11"/>
        </w:rPr>
        <w:t> </w:t>
      </w:r>
      <w:r>
        <w:rPr>
          <w:color w:val="FF8100"/>
          <w:spacing w:val="-2"/>
        </w:rPr>
        <w:t>DELL'OSSO</w:t>
      </w:r>
    </w:p>
    <w:p>
      <w:pPr>
        <w:pStyle w:val="BodyText"/>
        <w:spacing w:before="147"/>
      </w:pPr>
      <w:r>
        <w:rPr>
          <w:color w:val="6E6158"/>
        </w:rPr>
        <w:t>Monica</w:t>
      </w:r>
      <w:r>
        <w:rPr>
          <w:color w:val="6E6158"/>
          <w:spacing w:val="10"/>
        </w:rPr>
        <w:t> </w:t>
      </w:r>
      <w:r>
        <w:rPr>
          <w:color w:val="6E6158"/>
        </w:rPr>
        <w:t>has</w:t>
      </w:r>
      <w:r>
        <w:rPr>
          <w:color w:val="6E6158"/>
          <w:spacing w:val="10"/>
        </w:rPr>
        <w:t> </w:t>
      </w:r>
      <w:r>
        <w:rPr>
          <w:color w:val="6E6158"/>
        </w:rPr>
        <w:t>more</w:t>
      </w:r>
      <w:r>
        <w:rPr>
          <w:color w:val="6E6158"/>
          <w:spacing w:val="10"/>
        </w:rPr>
        <w:t> </w:t>
      </w:r>
      <w:r>
        <w:rPr>
          <w:color w:val="6E6158"/>
        </w:rPr>
        <w:t>than</w:t>
      </w:r>
      <w:r>
        <w:rPr>
          <w:color w:val="6E6158"/>
          <w:spacing w:val="10"/>
        </w:rPr>
        <w:t> </w:t>
      </w:r>
      <w:r>
        <w:rPr>
          <w:color w:val="6E6158"/>
        </w:rPr>
        <w:t>35</w:t>
      </w:r>
      <w:r>
        <w:rPr>
          <w:color w:val="6E6158"/>
          <w:spacing w:val="10"/>
        </w:rPr>
        <w:t> </w:t>
      </w:r>
      <w:r>
        <w:rPr>
          <w:color w:val="6E6158"/>
        </w:rPr>
        <w:t>years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experience</w:t>
      </w:r>
      <w:r>
        <w:rPr>
          <w:color w:val="6E6158"/>
          <w:spacing w:val="10"/>
        </w:rPr>
        <w:t> </w:t>
      </w:r>
      <w:r>
        <w:rPr>
          <w:color w:val="6E6158"/>
        </w:rPr>
        <w:t>in</w:t>
      </w:r>
      <w:r>
        <w:rPr>
          <w:color w:val="6E6158"/>
          <w:spacing w:val="11"/>
        </w:rPr>
        <w:t> </w:t>
      </w:r>
      <w:r>
        <w:rPr>
          <w:color w:val="6E6158"/>
        </w:rPr>
        <w:t>trusts</w:t>
      </w:r>
      <w:r>
        <w:rPr>
          <w:color w:val="6E6158"/>
          <w:spacing w:val="10"/>
        </w:rPr>
        <w:t> </w:t>
      </w:r>
      <w:r>
        <w:rPr>
          <w:color w:val="6E6158"/>
        </w:rPr>
        <w:t>and</w:t>
      </w:r>
      <w:r>
        <w:rPr>
          <w:color w:val="6E6158"/>
          <w:spacing w:val="10"/>
        </w:rPr>
        <w:t> </w:t>
      </w:r>
      <w:r>
        <w:rPr>
          <w:color w:val="6E6158"/>
        </w:rPr>
        <w:t>estates.</w:t>
      </w:r>
      <w:r>
        <w:rPr>
          <w:color w:val="6E6158"/>
          <w:spacing w:val="10"/>
        </w:rPr>
        <w:t> </w:t>
      </w:r>
      <w:r>
        <w:rPr>
          <w:color w:val="6E6158"/>
        </w:rPr>
        <w:t>A</w:t>
      </w:r>
      <w:r>
        <w:rPr>
          <w:color w:val="6E6158"/>
          <w:spacing w:val="10"/>
        </w:rPr>
        <w:t> </w:t>
      </w:r>
      <w:r>
        <w:rPr>
          <w:color w:val="6E6158"/>
        </w:rPr>
        <w:t>respected</w:t>
      </w:r>
      <w:r>
        <w:rPr>
          <w:color w:val="6E6158"/>
          <w:spacing w:val="10"/>
        </w:rPr>
        <w:t> </w:t>
      </w:r>
      <w:r>
        <w:rPr>
          <w:color w:val="6E6158"/>
        </w:rPr>
        <w:t>leader</w:t>
      </w:r>
      <w:r>
        <w:rPr>
          <w:color w:val="6E6158"/>
          <w:spacing w:val="10"/>
        </w:rPr>
        <w:t> </w:t>
      </w:r>
      <w:r>
        <w:rPr>
          <w:color w:val="6E6158"/>
        </w:rPr>
        <w:t>in</w:t>
      </w:r>
      <w:r>
        <w:rPr>
          <w:color w:val="6E6158"/>
          <w:spacing w:val="10"/>
        </w:rPr>
        <w:t> </w:t>
      </w:r>
      <w:r>
        <w:rPr>
          <w:color w:val="6E6158"/>
          <w:spacing w:val="-5"/>
        </w:rPr>
        <w:t>the</w:t>
      </w:r>
    </w:p>
    <w:p>
      <w:pPr>
        <w:pStyle w:val="BodyText"/>
        <w:spacing w:line="292" w:lineRule="auto" w:before="60"/>
        <w:ind w:right="743"/>
      </w:pPr>
      <w:r>
        <w:rPr>
          <w:color w:val="6E6158"/>
        </w:rPr>
        <w:t>field, she combines extensive insight and experience with a committed, passionate, and </w:t>
      </w:r>
      <w:r>
        <w:rPr>
          <w:color w:val="6E6158"/>
        </w:rPr>
        <w:t>caring</w:t>
      </w:r>
      <w:r>
        <w:rPr>
          <w:color w:val="6E6158"/>
          <w:spacing w:val="40"/>
        </w:rPr>
        <w:t> </w:t>
      </w:r>
      <w:r>
        <w:rPr>
          <w:color w:val="6E6158"/>
        </w:rPr>
        <w:t>approach. She is a trusted advisor for a range of clients, with a practice focus on sophisticated</w:t>
      </w:r>
      <w:r>
        <w:rPr>
          <w:color w:val="6E6158"/>
          <w:spacing w:val="40"/>
        </w:rPr>
        <w:t> </w:t>
      </w:r>
      <w:r>
        <w:rPr>
          <w:color w:val="6E6158"/>
        </w:rPr>
        <w:t>estate and gift tax planning, estate and trust administration, and contested matters in estates</w:t>
      </w:r>
      <w:r>
        <w:rPr>
          <w:color w:val="6E6158"/>
          <w:spacing w:val="40"/>
        </w:rPr>
        <w:t> </w:t>
      </w:r>
      <w:r>
        <w:rPr>
          <w:color w:val="6E6158"/>
        </w:rPr>
        <w:t>and trusts.</w:t>
      </w:r>
    </w:p>
    <w:p>
      <w:pPr>
        <w:pStyle w:val="BodyText"/>
        <w:spacing w:line="292" w:lineRule="auto" w:before="11"/>
        <w:ind w:right="209"/>
      </w:pPr>
      <w:r>
        <w:rPr>
          <w:color w:val="6E6158"/>
        </w:rPr>
        <w:t>Working closely with clients, Monica prepares complex estate plans that utilize sophisticated</w:t>
      </w:r>
      <w:r>
        <w:rPr>
          <w:color w:val="6E6158"/>
          <w:spacing w:val="40"/>
        </w:rPr>
        <w:t> </w:t>
      </w:r>
      <w:r>
        <w:rPr>
          <w:color w:val="6E6158"/>
        </w:rPr>
        <w:t>techniques for effective wealth transfer. She provides comprehensive guidance and handles</w:t>
      </w:r>
      <w:r>
        <w:rPr>
          <w:color w:val="6E6158"/>
          <w:spacing w:val="40"/>
        </w:rPr>
        <w:t> </w:t>
      </w:r>
      <w:r>
        <w:rPr>
          <w:color w:val="6E6158"/>
        </w:rPr>
        <w:t>numerous</w:t>
      </w:r>
      <w:r>
        <w:rPr>
          <w:color w:val="6E6158"/>
          <w:spacing w:val="23"/>
        </w:rPr>
        <w:t> </w:t>
      </w:r>
      <w:r>
        <w:rPr>
          <w:color w:val="6E6158"/>
        </w:rPr>
        <w:t>administration</w:t>
      </w:r>
      <w:r>
        <w:rPr>
          <w:color w:val="6E6158"/>
          <w:spacing w:val="23"/>
        </w:rPr>
        <w:t> </w:t>
      </w:r>
      <w:r>
        <w:rPr>
          <w:color w:val="6E6158"/>
        </w:rPr>
        <w:t>matters,</w:t>
      </w:r>
      <w:r>
        <w:rPr>
          <w:color w:val="6E6158"/>
          <w:spacing w:val="23"/>
        </w:rPr>
        <w:t> </w:t>
      </w:r>
      <w:r>
        <w:rPr>
          <w:color w:val="6E6158"/>
        </w:rPr>
        <w:t>including</w:t>
      </w:r>
      <w:r>
        <w:rPr>
          <w:color w:val="6E6158"/>
          <w:spacing w:val="23"/>
        </w:rPr>
        <w:t> </w:t>
      </w:r>
      <w:r>
        <w:rPr>
          <w:color w:val="6E6158"/>
        </w:rPr>
        <w:t>formal</w:t>
      </w:r>
      <w:r>
        <w:rPr>
          <w:color w:val="6E6158"/>
          <w:spacing w:val="23"/>
        </w:rPr>
        <w:t> </w:t>
      </w:r>
      <w:r>
        <w:rPr>
          <w:color w:val="6E6158"/>
        </w:rPr>
        <w:t>probates</w:t>
      </w:r>
      <w:r>
        <w:rPr>
          <w:color w:val="6E6158"/>
          <w:spacing w:val="23"/>
        </w:rPr>
        <w:t> </w:t>
      </w:r>
      <w:r>
        <w:rPr>
          <w:color w:val="6E6158"/>
        </w:rPr>
        <w:t>and</w:t>
      </w:r>
      <w:r>
        <w:rPr>
          <w:color w:val="6E6158"/>
          <w:spacing w:val="23"/>
        </w:rPr>
        <w:t> </w:t>
      </w:r>
      <w:r>
        <w:rPr>
          <w:color w:val="6E6158"/>
        </w:rPr>
        <w:t>post-death</w:t>
      </w:r>
      <w:r>
        <w:rPr>
          <w:color w:val="6E6158"/>
          <w:spacing w:val="23"/>
        </w:rPr>
        <w:t> </w:t>
      </w:r>
      <w:r>
        <w:rPr>
          <w:color w:val="6E6158"/>
        </w:rPr>
        <w:t>trust</w:t>
      </w:r>
      <w:r>
        <w:rPr>
          <w:color w:val="6E6158"/>
          <w:spacing w:val="23"/>
        </w:rPr>
        <w:t> </w:t>
      </w:r>
      <w:r>
        <w:rPr>
          <w:color w:val="6E6158"/>
        </w:rPr>
        <w:t>administrations.</w:t>
      </w:r>
    </w:p>
    <w:p>
      <w:pPr>
        <w:pStyle w:val="BodyText"/>
        <w:spacing w:line="295" w:lineRule="auto" w:before="197"/>
        <w:ind w:right="711"/>
      </w:pPr>
      <w:r>
        <w:rPr>
          <w:color w:val="6E6158"/>
        </w:rPr>
        <w:t>Monica has written and lectured on a wide range of topics related to trusts and estates. A</w:t>
      </w:r>
      <w:r>
        <w:rPr>
          <w:color w:val="6E6158"/>
          <w:spacing w:val="40"/>
        </w:rPr>
        <w:t> </w:t>
      </w:r>
      <w:r>
        <w:rPr>
          <w:color w:val="6E6158"/>
        </w:rPr>
        <w:t>certified specialist in probate, estate planning and trust law by the State Bar of California Board</w:t>
      </w:r>
      <w:r>
        <w:rPr>
          <w:color w:val="6E6158"/>
          <w:spacing w:val="80"/>
        </w:rPr>
        <w:t> </w:t>
      </w:r>
      <w:r>
        <w:rPr>
          <w:color w:val="6E6158"/>
        </w:rPr>
        <w:t>of Legal Specialization and a Fellow of the American College of Trust and Estate Counsel</w:t>
      </w:r>
      <w:r>
        <w:rPr>
          <w:color w:val="6E6158"/>
          <w:spacing w:val="40"/>
        </w:rPr>
        <w:t> </w:t>
      </w:r>
      <w:r>
        <w:rPr>
          <w:color w:val="6E6158"/>
        </w:rPr>
        <w:t>(ACTEC)she</w:t>
      </w:r>
      <w:r>
        <w:rPr>
          <w:color w:val="6E6158"/>
          <w:spacing w:val="34"/>
        </w:rPr>
        <w:t> </w:t>
      </w:r>
      <w:r>
        <w:rPr>
          <w:color w:val="6E6158"/>
        </w:rPr>
        <w:t>is</w:t>
      </w:r>
      <w:r>
        <w:rPr>
          <w:color w:val="6E6158"/>
          <w:spacing w:val="34"/>
        </w:rPr>
        <w:t> </w:t>
      </w:r>
      <w:r>
        <w:rPr>
          <w:color w:val="6E6158"/>
        </w:rPr>
        <w:t>regularly</w:t>
      </w:r>
      <w:r>
        <w:rPr>
          <w:color w:val="6E6158"/>
          <w:spacing w:val="34"/>
        </w:rPr>
        <w:t> </w:t>
      </w:r>
      <w:r>
        <w:rPr>
          <w:color w:val="6E6158"/>
        </w:rPr>
        <w:t>selected</w:t>
      </w:r>
      <w:r>
        <w:rPr>
          <w:color w:val="6E6158"/>
          <w:spacing w:val="34"/>
        </w:rPr>
        <w:t> </w:t>
      </w:r>
      <w:r>
        <w:rPr>
          <w:color w:val="6E6158"/>
        </w:rPr>
        <w:t>for</w:t>
      </w:r>
      <w:r>
        <w:rPr>
          <w:color w:val="6E6158"/>
          <w:spacing w:val="34"/>
        </w:rPr>
        <w:t> </w:t>
      </w:r>
      <w:r>
        <w:rPr>
          <w:color w:val="6E6158"/>
        </w:rPr>
        <w:t>inclusion</w:t>
      </w:r>
      <w:r>
        <w:rPr>
          <w:color w:val="6E6158"/>
          <w:spacing w:val="34"/>
        </w:rPr>
        <w:t> </w:t>
      </w:r>
      <w:r>
        <w:rPr>
          <w:color w:val="6E6158"/>
        </w:rPr>
        <w:t>in</w:t>
      </w:r>
      <w:r>
        <w:rPr>
          <w:color w:val="6E6158"/>
          <w:spacing w:val="34"/>
        </w:rPr>
        <w:t> </w:t>
      </w:r>
      <w:r>
        <w:rPr>
          <w:color w:val="6E6158"/>
        </w:rPr>
        <w:t>multiple</w:t>
      </w:r>
      <w:r>
        <w:rPr>
          <w:color w:val="6E6158"/>
          <w:spacing w:val="34"/>
        </w:rPr>
        <w:t> </w:t>
      </w:r>
      <w:r>
        <w:rPr>
          <w:color w:val="6E6158"/>
        </w:rPr>
        <w:t>peer-rated</w:t>
      </w:r>
      <w:r>
        <w:rPr>
          <w:color w:val="6E6158"/>
          <w:spacing w:val="34"/>
        </w:rPr>
        <w:t> </w:t>
      </w:r>
      <w:r>
        <w:rPr>
          <w:color w:val="6E6158"/>
        </w:rPr>
        <w:t>publications,</w:t>
      </w:r>
      <w:r>
        <w:rPr>
          <w:color w:val="6E6158"/>
          <w:spacing w:val="34"/>
        </w:rPr>
        <w:t> </w:t>
      </w:r>
      <w:r>
        <w:rPr>
          <w:color w:val="6E6158"/>
        </w:rPr>
        <w:t>such</w:t>
      </w:r>
      <w:r>
        <w:rPr>
          <w:color w:val="6E6158"/>
          <w:spacing w:val="34"/>
        </w:rPr>
        <w:t> </w:t>
      </w:r>
      <w:r>
        <w:rPr>
          <w:color w:val="6E6158"/>
        </w:rPr>
        <w:t>as Northern California Super Lawyers.</w:t>
      </w:r>
    </w:p>
    <w:p>
      <w:pPr>
        <w:pStyle w:val="Heading1"/>
        <w:spacing w:before="169"/>
      </w:pPr>
      <w:r>
        <w:rPr>
          <w:color w:val="FF8100"/>
          <w:spacing w:val="-2"/>
        </w:rPr>
        <w:t>EDUCATION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</w:rPr>
        <w:t>Ph.D.</w:t>
      </w:r>
      <w:r>
        <w:rPr>
          <w:color w:val="6E6158"/>
          <w:spacing w:val="11"/>
        </w:rPr>
        <w:t> </w:t>
      </w:r>
      <w:r>
        <w:rPr>
          <w:color w:val="6E6158"/>
        </w:rPr>
        <w:t>University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Virginia</w:t>
      </w:r>
    </w:p>
    <w:p>
      <w:pPr>
        <w:pStyle w:val="BodyText"/>
        <w:spacing w:before="174"/>
      </w:pPr>
      <w:r>
        <w:rPr>
          <w:color w:val="6E6158"/>
        </w:rPr>
        <w:t>J.D.,</w:t>
      </w:r>
      <w:r>
        <w:rPr>
          <w:color w:val="6E6158"/>
          <w:spacing w:val="12"/>
        </w:rPr>
        <w:t> </w:t>
      </w:r>
      <w:r>
        <w:rPr>
          <w:color w:val="6E6158"/>
        </w:rPr>
        <w:t>University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</w:rPr>
        <w:t>California,</w:t>
      </w:r>
      <w:r>
        <w:rPr>
          <w:color w:val="6E6158"/>
          <w:spacing w:val="13"/>
        </w:rPr>
        <w:t> </w:t>
      </w:r>
      <w:r>
        <w:rPr>
          <w:color w:val="6E6158"/>
        </w:rPr>
        <w:t>Berkeley</w:t>
      </w:r>
      <w:r>
        <w:rPr>
          <w:color w:val="6E6158"/>
          <w:spacing w:val="13"/>
        </w:rPr>
        <w:t> </w:t>
      </w:r>
      <w:r>
        <w:rPr>
          <w:color w:val="6E6158"/>
        </w:rPr>
        <w:t>School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  <w:spacing w:val="-5"/>
        </w:rPr>
        <w:t>Law</w:t>
      </w:r>
    </w:p>
    <w:p>
      <w:pPr>
        <w:spacing w:before="164"/>
        <w:ind w:left="99" w:right="0" w:firstLine="0"/>
        <w:jc w:val="left"/>
        <w:rPr>
          <w:i/>
          <w:sz w:val="20"/>
        </w:rPr>
      </w:pPr>
      <w:r>
        <w:rPr>
          <w:color w:val="6E6158"/>
          <w:sz w:val="19"/>
        </w:rPr>
        <w:t>B.A.,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St.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Mary-of-the-Woods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College,</w:t>
      </w:r>
      <w:r>
        <w:rPr>
          <w:color w:val="6E6158"/>
          <w:spacing w:val="5"/>
          <w:sz w:val="19"/>
        </w:rPr>
        <w:t> </w:t>
      </w:r>
      <w:r>
        <w:rPr>
          <w:i/>
          <w:color w:val="6E6158"/>
          <w:sz w:val="20"/>
        </w:rPr>
        <w:t>summa</w:t>
      </w:r>
      <w:r>
        <w:rPr>
          <w:i/>
          <w:color w:val="6E6158"/>
          <w:spacing w:val="1"/>
          <w:sz w:val="20"/>
        </w:rPr>
        <w:t> </w:t>
      </w:r>
      <w:r>
        <w:rPr>
          <w:i/>
          <w:color w:val="6E6158"/>
          <w:sz w:val="20"/>
        </w:rPr>
        <w:t>cum</w:t>
      </w:r>
      <w:r>
        <w:rPr>
          <w:i/>
          <w:color w:val="6E6158"/>
          <w:spacing w:val="2"/>
          <w:sz w:val="20"/>
        </w:rPr>
        <w:t> </w:t>
      </w:r>
      <w:r>
        <w:rPr>
          <w:i/>
          <w:color w:val="6E6158"/>
          <w:spacing w:val="-2"/>
          <w:sz w:val="20"/>
        </w:rPr>
        <w:t>laude</w:t>
      </w:r>
    </w:p>
    <w:p>
      <w:pPr>
        <w:pStyle w:val="BodyText"/>
        <w:spacing w:before="169"/>
        <w:ind w:left="0"/>
        <w:rPr>
          <w:i/>
          <w:sz w:val="24"/>
        </w:rPr>
      </w:pPr>
    </w:p>
    <w:p>
      <w:pPr>
        <w:pStyle w:val="Heading1"/>
        <w:spacing w:before="0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0" w:lineRule="auto" w:before="1"/>
        <w:ind w:right="7737"/>
      </w:pPr>
      <w:r>
        <w:rPr>
          <w:color w:val="6E6158"/>
        </w:rPr>
        <w:t>Trusts &amp; Estates Estate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Litigation</w:t>
      </w:r>
    </w:p>
    <w:p>
      <w:pPr>
        <w:pStyle w:val="BodyText"/>
        <w:spacing w:line="427" w:lineRule="auto"/>
        <w:ind w:right="5498"/>
      </w:pPr>
      <w:r>
        <w:rPr>
          <w:color w:val="6E6158"/>
        </w:rPr>
        <w:t>Family Office &amp; Private Client </w:t>
      </w:r>
      <w:r>
        <w:rPr>
          <w:color w:val="6E6158"/>
        </w:rPr>
        <w:t>Attorneys Estate Planning</w:t>
      </w:r>
    </w:p>
    <w:p>
      <w:pPr>
        <w:pStyle w:val="Heading1"/>
        <w:spacing w:before="274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Heading1"/>
        <w:spacing w:after="0"/>
        <w:sectPr>
          <w:type w:val="continuous"/>
          <w:pgSz w:w="12240" w:h="15840"/>
          <w:pgMar w:top="560" w:bottom="280" w:left="1440" w:right="1080"/>
        </w:sectPr>
      </w:pPr>
    </w:p>
    <w:p>
      <w:pPr>
        <w:spacing w:before="96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color w:val="6E6158"/>
          <w:sz w:val="19"/>
        </w:rPr>
        <w:t>,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Lawyer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of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the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Year,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Litigation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–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Trusts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and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Estates,</w:t>
      </w:r>
      <w:r>
        <w:rPr>
          <w:color w:val="6E6158"/>
          <w:spacing w:val="-1"/>
          <w:sz w:val="19"/>
        </w:rPr>
        <w:t> </w:t>
      </w:r>
      <w:r>
        <w:rPr>
          <w:color w:val="6E6158"/>
          <w:spacing w:val="-4"/>
          <w:sz w:val="19"/>
        </w:rPr>
        <w:t>2026</w:t>
      </w:r>
    </w:p>
    <w:p>
      <w:pPr>
        <w:spacing w:before="162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color w:val="6E6158"/>
          <w:sz w:val="19"/>
        </w:rPr>
        <w:t>®,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2006,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2007,</w:t>
      </w:r>
      <w:r>
        <w:rPr>
          <w:color w:val="6E6158"/>
          <w:spacing w:val="-5"/>
          <w:sz w:val="19"/>
        </w:rPr>
        <w:t> </w:t>
      </w:r>
      <w:r>
        <w:rPr>
          <w:color w:val="6E6158"/>
          <w:sz w:val="19"/>
        </w:rPr>
        <w:t>2010-</w:t>
      </w:r>
      <w:r>
        <w:rPr>
          <w:color w:val="6E6158"/>
          <w:spacing w:val="-4"/>
          <w:sz w:val="19"/>
        </w:rPr>
        <w:t>2027</w:t>
      </w:r>
    </w:p>
    <w:p>
      <w:pPr>
        <w:pStyle w:val="BodyText"/>
        <w:spacing w:line="292" w:lineRule="auto" w:before="180"/>
        <w:ind w:right="743"/>
      </w:pPr>
      <w:r>
        <w:rPr>
          <w:color w:val="6E6158"/>
        </w:rPr>
        <w:t>Certified Specialist – Probate, Estate Planning and Trust Law, State Bar of California Board of</w:t>
      </w:r>
      <w:r>
        <w:rPr>
          <w:color w:val="6E6158"/>
          <w:spacing w:val="40"/>
        </w:rPr>
        <w:t> </w:t>
      </w:r>
      <w:r>
        <w:rPr>
          <w:color w:val="6E6158"/>
        </w:rPr>
        <w:t>Legal Specialization</w:t>
      </w:r>
    </w:p>
    <w:p>
      <w:pPr>
        <w:spacing w:line="398" w:lineRule="auto" w:before="113"/>
        <w:ind w:left="99" w:right="4236" w:firstLine="0"/>
        <w:jc w:val="left"/>
        <w:rPr>
          <w:sz w:val="19"/>
        </w:rPr>
      </w:pPr>
      <w:r>
        <w:rPr>
          <w:color w:val="6E6158"/>
          <w:sz w:val="19"/>
        </w:rPr>
        <w:t>Northern California’s Top 100 </w:t>
      </w:r>
      <w:r>
        <w:rPr>
          <w:i/>
          <w:color w:val="6E6158"/>
          <w:sz w:val="20"/>
        </w:rPr>
        <w:t>Super Lawyers</w:t>
      </w:r>
      <w:r>
        <w:rPr>
          <w:color w:val="6E6158"/>
          <w:sz w:val="19"/>
        </w:rPr>
        <w:t>, 2007-</w:t>
      </w:r>
      <w:r>
        <w:rPr>
          <w:color w:val="6E6158"/>
          <w:sz w:val="19"/>
        </w:rPr>
        <w:t>2026 Top 50 Women </w:t>
      </w:r>
      <w:r>
        <w:rPr>
          <w:i/>
          <w:color w:val="6E6158"/>
          <w:sz w:val="20"/>
        </w:rPr>
        <w:t>Super Lawyers</w:t>
      </w:r>
      <w:r>
        <w:rPr>
          <w:color w:val="6E6158"/>
          <w:sz w:val="19"/>
        </w:rPr>
        <w:t>, 2007-2022</w:t>
      </w:r>
    </w:p>
    <w:p>
      <w:pPr>
        <w:pStyle w:val="BodyText"/>
        <w:spacing w:before="6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292" w:lineRule="auto"/>
        <w:ind w:right="743"/>
      </w:pPr>
      <w:r>
        <w:rPr>
          <w:color w:val="6E6158"/>
        </w:rPr>
        <w:t>Author, “Estate Planning for Vacation Homes,” Estate Planning for Special Assets, </w:t>
      </w:r>
      <w:r>
        <w:rPr>
          <w:color w:val="6E6158"/>
        </w:rPr>
        <w:t>Continuing Education of the Bar (CEB), 2005, updated 2008, 2010, and 2014</w:t>
      </w:r>
    </w:p>
    <w:p>
      <w:pPr>
        <w:pStyle w:val="BodyText"/>
        <w:spacing w:line="292" w:lineRule="auto" w:before="124"/>
      </w:pPr>
      <w:r>
        <w:rPr>
          <w:color w:val="6E6158"/>
        </w:rPr>
        <w:t>Author, “Difficult Family Situations,” Complete Plans from Small and Mid-Size Estates, </w:t>
      </w:r>
      <w:r>
        <w:rPr>
          <w:color w:val="6E6158"/>
        </w:rPr>
        <w:t>Continuing Education of the Bar (CEB), 2007, updated 2008 – 2010 and 2014</w:t>
      </w:r>
    </w:p>
    <w:p>
      <w:pPr>
        <w:pStyle w:val="BodyText"/>
        <w:spacing w:line="292" w:lineRule="auto" w:before="131"/>
        <w:ind w:right="743"/>
      </w:pPr>
      <w:r>
        <w:rPr>
          <w:color w:val="6E6158"/>
        </w:rPr>
        <w:t>Co-Author, California Civil Practice: Probate and Trust Proceedings, 4 volumes, Thompson, </w:t>
      </w:r>
      <w:r>
        <w:rPr>
          <w:color w:val="6E6158"/>
        </w:rPr>
        <w:t>1993, updated semi-annually</w:t>
      </w:r>
    </w:p>
    <w:p>
      <w:pPr>
        <w:pStyle w:val="BodyText"/>
        <w:spacing w:before="123"/>
      </w:pPr>
      <w:r>
        <w:rPr>
          <w:color w:val="6E6158"/>
        </w:rPr>
        <w:t>Author,</w:t>
      </w:r>
      <w:r>
        <w:rPr>
          <w:color w:val="6E6158"/>
          <w:spacing w:val="15"/>
        </w:rPr>
        <w:t> </w:t>
      </w:r>
      <w:r>
        <w:rPr>
          <w:color w:val="6E6158"/>
        </w:rPr>
        <w:t>“Surrogate</w:t>
      </w:r>
      <w:r>
        <w:rPr>
          <w:color w:val="6E6158"/>
          <w:spacing w:val="15"/>
        </w:rPr>
        <w:t> </w:t>
      </w:r>
      <w:r>
        <w:rPr>
          <w:color w:val="6E6158"/>
        </w:rPr>
        <w:t>Financial</w:t>
      </w:r>
      <w:r>
        <w:rPr>
          <w:color w:val="6E6158"/>
          <w:spacing w:val="15"/>
        </w:rPr>
        <w:t> </w:t>
      </w:r>
      <w:r>
        <w:rPr>
          <w:color w:val="6E6158"/>
        </w:rPr>
        <w:t>Management,”</w:t>
      </w:r>
      <w:r>
        <w:rPr>
          <w:color w:val="6E6158"/>
          <w:spacing w:val="15"/>
        </w:rPr>
        <w:t> </w:t>
      </w:r>
      <w:r>
        <w:rPr>
          <w:color w:val="6E6158"/>
        </w:rPr>
        <w:t>California</w:t>
      </w:r>
      <w:r>
        <w:rPr>
          <w:color w:val="6E6158"/>
          <w:spacing w:val="15"/>
        </w:rPr>
        <w:t> </w:t>
      </w:r>
      <w:r>
        <w:rPr>
          <w:color w:val="6E6158"/>
        </w:rPr>
        <w:t>Elder</w:t>
      </w:r>
      <w:r>
        <w:rPr>
          <w:color w:val="6E6158"/>
          <w:spacing w:val="15"/>
        </w:rPr>
        <w:t> </w:t>
      </w:r>
      <w:r>
        <w:rPr>
          <w:color w:val="6E6158"/>
        </w:rPr>
        <w:t>Law</w:t>
      </w:r>
      <w:r>
        <w:rPr>
          <w:color w:val="6E6158"/>
          <w:spacing w:val="15"/>
        </w:rPr>
        <w:t> </w:t>
      </w:r>
      <w:r>
        <w:rPr>
          <w:color w:val="6E6158"/>
        </w:rPr>
        <w:t>Resources,</w:t>
      </w:r>
      <w:r>
        <w:rPr>
          <w:color w:val="6E6158"/>
          <w:spacing w:val="15"/>
        </w:rPr>
        <w:t> </w:t>
      </w:r>
      <w:r>
        <w:rPr>
          <w:color w:val="6E6158"/>
        </w:rPr>
        <w:t>Benefits</w:t>
      </w:r>
      <w:r>
        <w:rPr>
          <w:color w:val="6E6158"/>
          <w:spacing w:val="15"/>
        </w:rPr>
        <w:t> </w:t>
      </w:r>
      <w:r>
        <w:rPr>
          <w:color w:val="6E6158"/>
          <w:spacing w:val="-5"/>
        </w:rPr>
        <w:t>and</w:t>
      </w:r>
    </w:p>
    <w:p>
      <w:pPr>
        <w:pStyle w:val="BodyText"/>
        <w:spacing w:line="292" w:lineRule="auto" w:before="60"/>
        <w:ind w:right="711"/>
      </w:pPr>
      <w:r>
        <w:rPr>
          <w:color w:val="6E6158"/>
        </w:rPr>
        <w:t>Planning: An Advocate’s Guide, Continuing Education of the Bar (CEB), 1993, updated </w:t>
      </w:r>
      <w:r>
        <w:rPr>
          <w:color w:val="6E6158"/>
        </w:rPr>
        <w:t>2003,</w:t>
      </w:r>
      <w:r>
        <w:rPr>
          <w:color w:val="6E6158"/>
          <w:spacing w:val="40"/>
        </w:rPr>
        <w:t> </w:t>
      </w:r>
      <w:r>
        <w:rPr>
          <w:color w:val="6E6158"/>
        </w:rPr>
        <w:t>2005, 2007, 2010 and 2013</w:t>
      </w:r>
    </w:p>
    <w:p>
      <w:pPr>
        <w:pStyle w:val="BodyText"/>
        <w:spacing w:line="292" w:lineRule="auto" w:before="124"/>
        <w:ind w:right="743"/>
      </w:pPr>
      <w:r>
        <w:rPr>
          <w:color w:val="6E6158"/>
        </w:rPr>
        <w:t>Co-Author, Funding A Revocable Trust, Continuing Education of the Bar (CEB), 1993, </w:t>
      </w:r>
      <w:r>
        <w:rPr>
          <w:color w:val="6E6158"/>
        </w:rPr>
        <w:t>updated 2002 and 2003</w:t>
      </w:r>
    </w:p>
    <w:p>
      <w:pPr>
        <w:pStyle w:val="BodyText"/>
        <w:spacing w:line="292" w:lineRule="auto" w:before="131"/>
        <w:ind w:right="711"/>
      </w:pPr>
      <w:r>
        <w:rPr>
          <w:color w:val="6E6158"/>
        </w:rPr>
        <w:t>Co-Author, “Tax Considerations” Drafting California Revocable Trusts, Continuing Education </w:t>
      </w:r>
      <w:r>
        <w:rPr>
          <w:color w:val="6E6158"/>
        </w:rPr>
        <w:t>of the Bar (CEB), 2003</w:t>
      </w:r>
    </w:p>
    <w:p>
      <w:pPr>
        <w:pStyle w:val="BodyText"/>
        <w:spacing w:line="292" w:lineRule="auto" w:before="123"/>
        <w:ind w:right="743"/>
      </w:pPr>
      <w:r>
        <w:rPr>
          <w:color w:val="6E6158"/>
        </w:rPr>
        <w:t>Author, “Income Tax Basis,” California Estate Planning, Continuing Education of the Bar (CEB), </w:t>
      </w:r>
      <w:r>
        <w:rPr>
          <w:color w:val="6E6158"/>
          <w:spacing w:val="-4"/>
        </w:rPr>
        <w:t>2002</w:t>
      </w:r>
    </w:p>
    <w:p>
      <w:pPr>
        <w:pStyle w:val="BodyText"/>
        <w:spacing w:line="292" w:lineRule="auto" w:before="132"/>
        <w:ind w:right="743"/>
      </w:pPr>
      <w:r>
        <w:rPr>
          <w:color w:val="6E6158"/>
        </w:rPr>
        <w:t>Author, “Current Developments in Planning with Private/Family Split Dollar Insurance and </w:t>
      </w:r>
      <w:r>
        <w:rPr>
          <w:color w:val="6E6158"/>
        </w:rPr>
        <w:t>Stock Options,” 52 Major Tax Planning, Lexis Publishing, 2000</w:t>
      </w:r>
    </w:p>
    <w:p>
      <w:pPr>
        <w:pStyle w:val="BodyText"/>
        <w:spacing w:line="292" w:lineRule="auto" w:before="123"/>
        <w:ind w:right="743"/>
      </w:pPr>
      <w:r>
        <w:rPr>
          <w:color w:val="6E6158"/>
        </w:rPr>
        <w:t>Co-Author, “Marital Deduction Trusts,” California Transactions Forms – Estate Planning, </w:t>
      </w:r>
      <w:r>
        <w:rPr>
          <w:color w:val="6E6158"/>
        </w:rPr>
        <w:t>West Publishing Company, 1999</w:t>
      </w:r>
    </w:p>
    <w:p>
      <w:pPr>
        <w:pStyle w:val="BodyText"/>
        <w:spacing w:line="292" w:lineRule="auto" w:before="131"/>
        <w:ind w:right="743"/>
      </w:pPr>
      <w:r>
        <w:rPr>
          <w:color w:val="6E6158"/>
        </w:rPr>
        <w:t>Co-Author, “Trusts for Minors,” Drafting California Irrevocable Trusts, Continuing Education of </w:t>
      </w:r>
      <w:r>
        <w:rPr>
          <w:color w:val="6E6158"/>
        </w:rPr>
        <w:t>the Bar (CEB), 1997</w:t>
      </w:r>
    </w:p>
    <w:p>
      <w:pPr>
        <w:pStyle w:val="BodyText"/>
        <w:spacing w:line="302" w:lineRule="auto" w:before="124"/>
      </w:pPr>
      <w:r>
        <w:rPr>
          <w:color w:val="6E6158"/>
        </w:rPr>
        <w:t>Author, “Representing the Absconding Fiduciary: The Ethical Issues,” California Trusts and </w:t>
      </w:r>
      <w:r>
        <w:rPr>
          <w:color w:val="6E6158"/>
        </w:rPr>
        <w:t>Estates Quarterly, 1996</w:t>
      </w:r>
    </w:p>
    <w:p>
      <w:pPr>
        <w:pStyle w:val="BodyText"/>
        <w:spacing w:line="292" w:lineRule="auto" w:before="112"/>
        <w:ind w:right="743"/>
      </w:pPr>
      <w:r>
        <w:rPr>
          <w:color w:val="6E6158"/>
        </w:rPr>
        <w:t>Co-Author, “Estate Planning for Children: An Overview,” Estate Planning 1996, </w:t>
      </w:r>
      <w:r>
        <w:rPr>
          <w:color w:val="6E6158"/>
        </w:rPr>
        <w:t>Continuing Education of the Bar (CEB), 1996</w:t>
      </w:r>
    </w:p>
    <w:p>
      <w:pPr>
        <w:pStyle w:val="BodyText"/>
        <w:spacing w:line="302" w:lineRule="auto" w:before="124"/>
        <w:ind w:right="743"/>
      </w:pPr>
      <w:r>
        <w:rPr>
          <w:color w:val="6E6158"/>
        </w:rPr>
        <w:t>Co-Panelist, “Subtrust Funding and Administering Ongoing Trusts,” East Bay Trusts and </w:t>
      </w:r>
      <w:r>
        <w:rPr>
          <w:color w:val="6E6158"/>
        </w:rPr>
        <w:t>Estates Lawyers, Trust Administration Boot Camp, 2021</w:t>
      </w:r>
    </w:p>
    <w:p>
      <w:pPr>
        <w:pStyle w:val="BodyText"/>
        <w:spacing w:line="292" w:lineRule="auto" w:before="112"/>
        <w:ind w:right="743"/>
      </w:pPr>
      <w:r>
        <w:rPr>
          <w:color w:val="6E6158"/>
        </w:rPr>
        <w:t>Co-Panelist, “Trust and Estate Litigation Seminar: A Comprehensive Analysis from Intake </w:t>
      </w:r>
      <w:r>
        <w:rPr>
          <w:color w:val="6E6158"/>
        </w:rPr>
        <w:t>to Resolution,” Continuing Education of the Bar (CEB), December 2010</w:t>
      </w:r>
    </w:p>
    <w:p>
      <w:pPr>
        <w:pStyle w:val="BodyText"/>
        <w:spacing w:line="302" w:lineRule="auto" w:before="124"/>
        <w:ind w:right="821"/>
      </w:pPr>
      <w:r>
        <w:rPr>
          <w:color w:val="6E6158"/>
        </w:rPr>
        <w:t>Co-Panelist,</w:t>
      </w:r>
      <w:r>
        <w:rPr>
          <w:color w:val="6E6158"/>
          <w:spacing w:val="11"/>
        </w:rPr>
        <w:t> </w:t>
      </w:r>
      <w:r>
        <w:rPr>
          <w:color w:val="6E6158"/>
        </w:rPr>
        <w:t>“How</w:t>
      </w:r>
      <w:r>
        <w:rPr>
          <w:color w:val="6E6158"/>
          <w:spacing w:val="11"/>
        </w:rPr>
        <w:t> </w:t>
      </w:r>
      <w:r>
        <w:rPr>
          <w:color w:val="6E6158"/>
        </w:rPr>
        <w:t>to</w:t>
      </w:r>
      <w:r>
        <w:rPr>
          <w:color w:val="6E6158"/>
          <w:spacing w:val="11"/>
        </w:rPr>
        <w:t> </w:t>
      </w:r>
      <w:r>
        <w:rPr>
          <w:color w:val="6E6158"/>
        </w:rPr>
        <w:t>Cope</w:t>
      </w:r>
      <w:r>
        <w:rPr>
          <w:color w:val="6E6158"/>
          <w:spacing w:val="11"/>
        </w:rPr>
        <w:t> </w:t>
      </w:r>
      <w:r>
        <w:rPr>
          <w:color w:val="6E6158"/>
        </w:rPr>
        <w:t>with</w:t>
      </w:r>
      <w:r>
        <w:rPr>
          <w:color w:val="6E6158"/>
          <w:spacing w:val="11"/>
        </w:rPr>
        <w:t> </w:t>
      </w:r>
      <w:r>
        <w:rPr>
          <w:color w:val="6E6158"/>
        </w:rPr>
        <w:t>the</w:t>
      </w:r>
      <w:r>
        <w:rPr>
          <w:color w:val="6E6158"/>
          <w:spacing w:val="11"/>
        </w:rPr>
        <w:t> </w:t>
      </w:r>
      <w:r>
        <w:rPr>
          <w:color w:val="6E6158"/>
        </w:rPr>
        <w:t>Current</w:t>
      </w:r>
      <w:r>
        <w:rPr>
          <w:color w:val="6E6158"/>
          <w:spacing w:val="11"/>
        </w:rPr>
        <w:t> </w:t>
      </w:r>
      <w:r>
        <w:rPr>
          <w:color w:val="6E6158"/>
        </w:rPr>
        <w:t>Estate</w:t>
      </w:r>
      <w:r>
        <w:rPr>
          <w:color w:val="6E6158"/>
          <w:spacing w:val="11"/>
        </w:rPr>
        <w:t> </w:t>
      </w:r>
      <w:r>
        <w:rPr>
          <w:color w:val="6E6158"/>
        </w:rPr>
        <w:t>and</w:t>
      </w:r>
      <w:r>
        <w:rPr>
          <w:color w:val="6E6158"/>
          <w:spacing w:val="11"/>
        </w:rPr>
        <w:t> </w:t>
      </w:r>
      <w:r>
        <w:rPr>
          <w:color w:val="6E6158"/>
        </w:rPr>
        <w:t>Gift</w:t>
      </w:r>
      <w:r>
        <w:rPr>
          <w:color w:val="6E6158"/>
          <w:spacing w:val="11"/>
        </w:rPr>
        <w:t> </w:t>
      </w:r>
      <w:r>
        <w:rPr>
          <w:color w:val="6E6158"/>
        </w:rPr>
        <w:t>Tax</w:t>
      </w:r>
      <w:r>
        <w:rPr>
          <w:color w:val="6E6158"/>
          <w:spacing w:val="11"/>
        </w:rPr>
        <w:t> </w:t>
      </w:r>
      <w:r>
        <w:rPr>
          <w:color w:val="6E6158"/>
        </w:rPr>
        <w:t>Laws</w:t>
      </w:r>
      <w:r>
        <w:rPr>
          <w:color w:val="6E6158"/>
          <w:spacing w:val="11"/>
        </w:rPr>
        <w:t> </w:t>
      </w:r>
      <w:r>
        <w:rPr>
          <w:color w:val="6E6158"/>
        </w:rPr>
        <w:t>–</w:t>
      </w:r>
      <w:r>
        <w:rPr>
          <w:color w:val="6E6158"/>
          <w:spacing w:val="11"/>
        </w:rPr>
        <w:t> </w:t>
      </w:r>
      <w:r>
        <w:rPr>
          <w:color w:val="6E6158"/>
        </w:rPr>
        <w:t>What</w:t>
      </w:r>
      <w:r>
        <w:rPr>
          <w:color w:val="6E6158"/>
          <w:spacing w:val="11"/>
        </w:rPr>
        <w:t> </w:t>
      </w:r>
      <w:r>
        <w:rPr>
          <w:color w:val="6E6158"/>
        </w:rPr>
        <w:t>are</w:t>
      </w:r>
      <w:r>
        <w:rPr>
          <w:color w:val="6E6158"/>
          <w:spacing w:val="11"/>
        </w:rPr>
        <w:t> </w:t>
      </w:r>
      <w:r>
        <w:rPr>
          <w:color w:val="6E6158"/>
        </w:rPr>
        <w:t>they?”</w:t>
      </w:r>
      <w:r>
        <w:rPr>
          <w:color w:val="6E6158"/>
          <w:spacing w:val="11"/>
        </w:rPr>
        <w:t> </w:t>
      </w:r>
      <w:r>
        <w:rPr>
          <w:color w:val="6E6158"/>
        </w:rPr>
        <w:t>Thirty-Second Annual UCLA-CEB Estate Planning Institute, May 2010</w:t>
      </w:r>
    </w:p>
    <w:p>
      <w:pPr>
        <w:pStyle w:val="BodyText"/>
        <w:spacing w:line="292" w:lineRule="auto" w:before="113"/>
      </w:pPr>
      <w:r>
        <w:rPr>
          <w:color w:val="6E6158"/>
        </w:rPr>
        <w:t>Co-Panelist, “Estate Litigation: Tactical Issues. Case Studies and Resolution Scenarios,” </w:t>
      </w:r>
      <w:r>
        <w:rPr>
          <w:color w:val="6E6158"/>
        </w:rPr>
        <w:t>Continuing</w:t>
      </w:r>
      <w:r>
        <w:rPr>
          <w:color w:val="6E6158"/>
          <w:spacing w:val="40"/>
        </w:rPr>
        <w:t> </w:t>
      </w:r>
      <w:r>
        <w:rPr>
          <w:color w:val="6E6158"/>
        </w:rPr>
        <w:t>Education of the Bar (CEB), December 2008</w:t>
      </w:r>
    </w:p>
    <w:p>
      <w:pPr>
        <w:pStyle w:val="BodyText"/>
        <w:spacing w:after="0" w:line="292" w:lineRule="auto"/>
        <w:sectPr>
          <w:pgSz w:w="12240" w:h="15840"/>
          <w:pgMar w:top="480" w:bottom="280" w:left="1440" w:right="1080"/>
        </w:sectPr>
      </w:pPr>
    </w:p>
    <w:p>
      <w:pPr>
        <w:pStyle w:val="BodyText"/>
        <w:spacing w:before="83"/>
      </w:pPr>
      <w:r>
        <w:rPr>
          <w:color w:val="6E6158"/>
        </w:rPr>
        <w:t>Co-Panelist,</w:t>
      </w:r>
      <w:r>
        <w:rPr>
          <w:color w:val="6E6158"/>
          <w:spacing w:val="15"/>
        </w:rPr>
        <w:t> </w:t>
      </w:r>
      <w:r>
        <w:rPr>
          <w:color w:val="6E6158"/>
        </w:rPr>
        <w:t>“Advanced</w:t>
      </w:r>
      <w:r>
        <w:rPr>
          <w:color w:val="6E6158"/>
          <w:spacing w:val="15"/>
        </w:rPr>
        <w:t> </w:t>
      </w:r>
      <w:r>
        <w:rPr>
          <w:color w:val="6E6158"/>
        </w:rPr>
        <w:t>Estate</w:t>
      </w:r>
      <w:r>
        <w:rPr>
          <w:color w:val="6E6158"/>
          <w:spacing w:val="15"/>
        </w:rPr>
        <w:t> </w:t>
      </w:r>
      <w:r>
        <w:rPr>
          <w:color w:val="6E6158"/>
        </w:rPr>
        <w:t>Planning</w:t>
      </w:r>
      <w:r>
        <w:rPr>
          <w:color w:val="6E6158"/>
          <w:spacing w:val="15"/>
        </w:rPr>
        <w:t> </w:t>
      </w:r>
      <w:r>
        <w:rPr>
          <w:color w:val="6E6158"/>
        </w:rPr>
        <w:t>Practice</w:t>
      </w:r>
      <w:r>
        <w:rPr>
          <w:color w:val="6E6158"/>
          <w:spacing w:val="15"/>
        </w:rPr>
        <w:t> </w:t>
      </w:r>
      <w:r>
        <w:rPr>
          <w:color w:val="6E6158"/>
        </w:rPr>
        <w:t>Update</w:t>
      </w:r>
      <w:r>
        <w:rPr>
          <w:color w:val="6E6158"/>
          <w:spacing w:val="15"/>
        </w:rPr>
        <w:t> </w:t>
      </w:r>
      <w:r>
        <w:rPr>
          <w:color w:val="6E6158"/>
        </w:rPr>
        <w:t>–</w:t>
      </w:r>
      <w:r>
        <w:rPr>
          <w:color w:val="6E6158"/>
          <w:spacing w:val="15"/>
        </w:rPr>
        <w:t> </w:t>
      </w:r>
      <w:r>
        <w:rPr>
          <w:color w:val="6E6158"/>
        </w:rPr>
        <w:t>Fall</w:t>
      </w:r>
      <w:r>
        <w:rPr>
          <w:color w:val="6E6158"/>
          <w:spacing w:val="16"/>
        </w:rPr>
        <w:t> </w:t>
      </w:r>
      <w:r>
        <w:rPr>
          <w:color w:val="6E6158"/>
        </w:rPr>
        <w:t>2007,”</w:t>
      </w:r>
      <w:r>
        <w:rPr>
          <w:color w:val="6E6158"/>
          <w:spacing w:val="15"/>
        </w:rPr>
        <w:t> </w:t>
      </w:r>
      <w:r>
        <w:rPr>
          <w:color w:val="6E6158"/>
        </w:rPr>
        <w:t>ALI-ABA,</w:t>
      </w:r>
      <w:r>
        <w:rPr>
          <w:color w:val="6E6158"/>
          <w:spacing w:val="15"/>
        </w:rPr>
        <w:t> </w:t>
      </w:r>
      <w:r>
        <w:rPr>
          <w:color w:val="6E6158"/>
        </w:rPr>
        <w:t>September</w:t>
      </w:r>
      <w:r>
        <w:rPr>
          <w:color w:val="6E6158"/>
          <w:spacing w:val="15"/>
        </w:rPr>
        <w:t> </w:t>
      </w:r>
      <w:r>
        <w:rPr>
          <w:color w:val="6E6158"/>
          <w:spacing w:val="-4"/>
        </w:rPr>
        <w:t>2007</w:t>
      </w:r>
    </w:p>
    <w:p>
      <w:pPr>
        <w:pStyle w:val="BodyText"/>
        <w:spacing w:line="302" w:lineRule="auto" w:before="174"/>
        <w:ind w:right="711"/>
      </w:pPr>
      <w:r>
        <w:rPr>
          <w:color w:val="6E6158"/>
        </w:rPr>
        <w:t>Speaker, “Post-Mortem Estate Planning,” Professional Education Broadcast Network, </w:t>
      </w:r>
      <w:r>
        <w:rPr>
          <w:color w:val="6E6158"/>
        </w:rPr>
        <w:t>November 2006 and August 2007</w:t>
      </w:r>
    </w:p>
    <w:p>
      <w:pPr>
        <w:pStyle w:val="BodyText"/>
        <w:spacing w:line="292" w:lineRule="auto" w:before="113"/>
        <w:ind w:right="743"/>
      </w:pPr>
      <w:r>
        <w:rPr>
          <w:color w:val="6E6158"/>
        </w:rPr>
        <w:t>Speaker, “Post Death Tax Planning and Elections,” 37th Annual Estate Planning </w:t>
      </w:r>
      <w:r>
        <w:rPr>
          <w:color w:val="6E6158"/>
        </w:rPr>
        <w:t>Institute, Practicing Law Institute (PLI), October 2006</w:t>
      </w:r>
    </w:p>
    <w:p>
      <w:pPr>
        <w:pStyle w:val="BodyText"/>
        <w:spacing w:line="302" w:lineRule="auto" w:before="123"/>
      </w:pPr>
      <w:r>
        <w:rPr>
          <w:color w:val="6E6158"/>
        </w:rPr>
        <w:t>Speaker, “Post Death Tax Planning and Elections,” Tax Strategies for the High-Income Individual, American Institute of Certified Public Accountants, May 2006</w:t>
      </w:r>
    </w:p>
    <w:p>
      <w:pPr>
        <w:pStyle w:val="BodyText"/>
        <w:spacing w:before="113"/>
      </w:pPr>
      <w:r>
        <w:rPr>
          <w:color w:val="6E6158"/>
        </w:rPr>
        <w:t>Co-Panelist,</w:t>
      </w:r>
      <w:r>
        <w:rPr>
          <w:color w:val="6E6158"/>
          <w:spacing w:val="15"/>
        </w:rPr>
        <w:t> </w:t>
      </w:r>
      <w:r>
        <w:rPr>
          <w:color w:val="6E6158"/>
        </w:rPr>
        <w:t>“Advanced</w:t>
      </w:r>
      <w:r>
        <w:rPr>
          <w:color w:val="6E6158"/>
          <w:spacing w:val="15"/>
        </w:rPr>
        <w:t> </w:t>
      </w:r>
      <w:r>
        <w:rPr>
          <w:color w:val="6E6158"/>
        </w:rPr>
        <w:t>Estate</w:t>
      </w:r>
      <w:r>
        <w:rPr>
          <w:color w:val="6E6158"/>
          <w:spacing w:val="16"/>
        </w:rPr>
        <w:t> </w:t>
      </w:r>
      <w:r>
        <w:rPr>
          <w:color w:val="6E6158"/>
        </w:rPr>
        <w:t>Planning</w:t>
      </w:r>
      <w:r>
        <w:rPr>
          <w:color w:val="6E6158"/>
          <w:spacing w:val="15"/>
        </w:rPr>
        <w:t> </w:t>
      </w:r>
      <w:r>
        <w:rPr>
          <w:color w:val="6E6158"/>
        </w:rPr>
        <w:t>Practice</w:t>
      </w:r>
      <w:r>
        <w:rPr>
          <w:color w:val="6E6158"/>
          <w:spacing w:val="15"/>
        </w:rPr>
        <w:t> </w:t>
      </w:r>
      <w:r>
        <w:rPr>
          <w:color w:val="6E6158"/>
        </w:rPr>
        <w:t>Update</w:t>
      </w:r>
      <w:r>
        <w:rPr>
          <w:color w:val="6E6158"/>
          <w:spacing w:val="16"/>
        </w:rPr>
        <w:t> </w:t>
      </w:r>
      <w:r>
        <w:rPr>
          <w:color w:val="6E6158"/>
        </w:rPr>
        <w:t>–</w:t>
      </w:r>
      <w:r>
        <w:rPr>
          <w:color w:val="6E6158"/>
          <w:spacing w:val="15"/>
        </w:rPr>
        <w:t> </w:t>
      </w:r>
      <w:r>
        <w:rPr>
          <w:color w:val="6E6158"/>
        </w:rPr>
        <w:t>Winter</w:t>
      </w:r>
      <w:r>
        <w:rPr>
          <w:color w:val="6E6158"/>
          <w:spacing w:val="15"/>
        </w:rPr>
        <w:t> </w:t>
      </w:r>
      <w:r>
        <w:rPr>
          <w:color w:val="6E6158"/>
        </w:rPr>
        <w:t>2006,”</w:t>
      </w:r>
      <w:r>
        <w:rPr>
          <w:color w:val="6E6158"/>
          <w:spacing w:val="16"/>
        </w:rPr>
        <w:t> </w:t>
      </w:r>
      <w:r>
        <w:rPr>
          <w:color w:val="6E6158"/>
        </w:rPr>
        <w:t>ALI-ABA,</w:t>
      </w:r>
      <w:r>
        <w:rPr>
          <w:color w:val="6E6158"/>
          <w:spacing w:val="15"/>
        </w:rPr>
        <w:t> </w:t>
      </w:r>
      <w:r>
        <w:rPr>
          <w:color w:val="6E6158"/>
        </w:rPr>
        <w:t>February</w:t>
      </w:r>
      <w:r>
        <w:rPr>
          <w:color w:val="6E6158"/>
          <w:spacing w:val="15"/>
        </w:rPr>
        <w:t> </w:t>
      </w:r>
      <w:r>
        <w:rPr>
          <w:color w:val="6E6158"/>
          <w:spacing w:val="-4"/>
        </w:rPr>
        <w:t>2006</w:t>
      </w:r>
    </w:p>
    <w:p>
      <w:pPr>
        <w:pStyle w:val="BodyText"/>
        <w:spacing w:line="292" w:lineRule="auto" w:before="174"/>
        <w:ind w:right="711" w:firstLine="54"/>
      </w:pPr>
      <w:r>
        <w:rPr>
          <w:color w:val="6E6158"/>
        </w:rPr>
        <w:t>Speaker, “Estate Litigation: Tactical Issues, Case Studies and Resolution Scenarios,” Continuing Education of the Bar (CEB), November 2005</w:t>
      </w:r>
    </w:p>
    <w:p>
      <w:pPr>
        <w:pStyle w:val="BodyText"/>
        <w:spacing w:before="131"/>
      </w:pPr>
      <w:r>
        <w:rPr>
          <w:color w:val="6E6158"/>
        </w:rPr>
        <w:t>Speaker,</w:t>
      </w:r>
      <w:r>
        <w:rPr>
          <w:color w:val="6E6158"/>
          <w:spacing w:val="12"/>
        </w:rPr>
        <w:t> </w:t>
      </w:r>
      <w:r>
        <w:rPr>
          <w:color w:val="6E6158"/>
        </w:rPr>
        <w:t>“Use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</w:rPr>
        <w:t>Disclaimers,”</w:t>
      </w:r>
      <w:r>
        <w:rPr>
          <w:color w:val="6E6158"/>
          <w:spacing w:val="13"/>
        </w:rPr>
        <w:t> </w:t>
      </w:r>
      <w:r>
        <w:rPr>
          <w:color w:val="6E6158"/>
        </w:rPr>
        <w:t>San</w:t>
      </w:r>
      <w:r>
        <w:rPr>
          <w:color w:val="6E6158"/>
          <w:spacing w:val="13"/>
        </w:rPr>
        <w:t> </w:t>
      </w:r>
      <w:r>
        <w:rPr>
          <w:color w:val="6E6158"/>
        </w:rPr>
        <w:t>Francisco</w:t>
      </w:r>
      <w:r>
        <w:rPr>
          <w:color w:val="6E6158"/>
          <w:spacing w:val="12"/>
        </w:rPr>
        <w:t> </w:t>
      </w:r>
      <w:r>
        <w:rPr>
          <w:color w:val="6E6158"/>
        </w:rPr>
        <w:t>Estate</w:t>
      </w:r>
      <w:r>
        <w:rPr>
          <w:color w:val="6E6158"/>
          <w:spacing w:val="13"/>
        </w:rPr>
        <w:t> </w:t>
      </w:r>
      <w:r>
        <w:rPr>
          <w:color w:val="6E6158"/>
        </w:rPr>
        <w:t>Planning</w:t>
      </w:r>
      <w:r>
        <w:rPr>
          <w:color w:val="6E6158"/>
          <w:spacing w:val="13"/>
        </w:rPr>
        <w:t> </w:t>
      </w:r>
      <w:r>
        <w:rPr>
          <w:color w:val="6E6158"/>
        </w:rPr>
        <w:t>Council,</w:t>
      </w:r>
      <w:r>
        <w:rPr>
          <w:color w:val="6E6158"/>
          <w:spacing w:val="12"/>
        </w:rPr>
        <w:t> </w:t>
      </w:r>
      <w:r>
        <w:rPr>
          <w:color w:val="6E6158"/>
        </w:rPr>
        <w:t>November</w:t>
      </w:r>
      <w:r>
        <w:rPr>
          <w:color w:val="6E6158"/>
          <w:spacing w:val="13"/>
        </w:rPr>
        <w:t> </w:t>
      </w:r>
      <w:r>
        <w:rPr>
          <w:color w:val="6E6158"/>
          <w:spacing w:val="-4"/>
        </w:rPr>
        <w:t>2005</w:t>
      </w:r>
    </w:p>
    <w:p>
      <w:pPr>
        <w:pStyle w:val="BodyText"/>
        <w:spacing w:line="292" w:lineRule="auto" w:before="174"/>
        <w:ind w:right="743"/>
      </w:pPr>
      <w:r>
        <w:rPr>
          <w:color w:val="6E6158"/>
        </w:rPr>
        <w:t>Speaker, “Post-Death Tax Planning and Elections,” 36th Annual Estate Planning </w:t>
      </w:r>
      <w:r>
        <w:rPr>
          <w:color w:val="6E6158"/>
        </w:rPr>
        <w:t>Institute, Practicing Law Institute (PLI), October 2005</w:t>
      </w:r>
    </w:p>
    <w:p>
      <w:pPr>
        <w:pStyle w:val="BodyText"/>
        <w:spacing w:line="302" w:lineRule="auto" w:before="124"/>
        <w:ind w:right="743"/>
      </w:pPr>
      <w:r>
        <w:rPr>
          <w:color w:val="6E6158"/>
        </w:rPr>
        <w:t>Speaker, “Making Waivers Work: Disclosure v. Intelligibility,” Representing Trust and </w:t>
      </w:r>
      <w:r>
        <w:rPr>
          <w:color w:val="6E6158"/>
        </w:rPr>
        <w:t>Estate Beneficiaries and Fiduciaries, ALI-ABA, July 2005</w:t>
      </w:r>
    </w:p>
    <w:p>
      <w:pPr>
        <w:pStyle w:val="BodyText"/>
        <w:spacing w:line="292" w:lineRule="auto" w:before="112"/>
        <w:ind w:right="743"/>
      </w:pPr>
      <w:r>
        <w:rPr>
          <w:color w:val="6E6158"/>
        </w:rPr>
        <w:t>Speaker, “Who’s the Client? Ethics for the Trust and Estate Counsel,” State Bar Section Education</w:t>
      </w:r>
      <w:r>
        <w:rPr>
          <w:color w:val="6E6158"/>
          <w:spacing w:val="40"/>
        </w:rPr>
        <w:t> </w:t>
      </w:r>
      <w:r>
        <w:rPr>
          <w:color w:val="6E6158"/>
        </w:rPr>
        <w:t>Institute, January 2005</w:t>
      </w:r>
    </w:p>
    <w:p>
      <w:pPr>
        <w:pStyle w:val="BodyText"/>
        <w:spacing w:line="292" w:lineRule="auto" w:before="132"/>
        <w:ind w:right="743"/>
      </w:pPr>
      <w:r>
        <w:rPr>
          <w:color w:val="6E6158"/>
        </w:rPr>
        <w:t>Co-Panelist, “Estate Planning for Special Assets,” Continuing Education of the Bar (CEB), </w:t>
      </w:r>
      <w:r>
        <w:rPr>
          <w:color w:val="6E6158"/>
        </w:rPr>
        <w:t>January</w:t>
      </w:r>
      <w:r>
        <w:rPr>
          <w:color w:val="6E6158"/>
          <w:spacing w:val="40"/>
        </w:rPr>
        <w:t> </w:t>
      </w:r>
      <w:r>
        <w:rPr>
          <w:color w:val="6E6158"/>
          <w:spacing w:val="-4"/>
        </w:rPr>
        <w:t>2005</w:t>
      </w:r>
    </w:p>
    <w:p>
      <w:pPr>
        <w:pStyle w:val="BodyText"/>
        <w:spacing w:line="292" w:lineRule="auto" w:before="123"/>
      </w:pPr>
      <w:r>
        <w:rPr>
          <w:color w:val="6E6158"/>
        </w:rPr>
        <w:t>Speaker, “Current Developments in Planning with Private/Family Split Dollar Insurance and </w:t>
      </w:r>
      <w:r>
        <w:rPr>
          <w:color w:val="6E6158"/>
        </w:rPr>
        <w:t>Stock Options,” USC Law School 52nd Institute on Federal Taxation, 2000</w:t>
      </w:r>
    </w:p>
    <w:p>
      <w:pPr>
        <w:pStyle w:val="BodyText"/>
        <w:spacing w:before="120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0" w:lineRule="auto"/>
        <w:ind w:right="4602"/>
      </w:pPr>
      <w:r>
        <w:rPr>
          <w:color w:val="6E6158"/>
        </w:rPr>
        <w:t>Fellow, American College of Trust and Estate </w:t>
      </w:r>
      <w:r>
        <w:rPr>
          <w:color w:val="6E6158"/>
        </w:rPr>
        <w:t>Counsel Co-Chair, UCLA-CEB Estate Planning Institute</w:t>
      </w:r>
    </w:p>
    <w:p>
      <w:pPr>
        <w:pStyle w:val="BodyText"/>
        <w:spacing w:line="420" w:lineRule="auto"/>
        <w:ind w:right="743"/>
      </w:pPr>
      <w:r>
        <w:rPr>
          <w:color w:val="6E6158"/>
        </w:rPr>
        <w:t>Past Chair, Estate Planning, Trust and Probate Law Section, Alameda County Bar </w:t>
      </w:r>
      <w:r>
        <w:rPr>
          <w:color w:val="6E6158"/>
        </w:rPr>
        <w:t>Association Member, Board of Directors, Legal Assistance For Seniors, 2001-2016</w:t>
      </w:r>
    </w:p>
    <w:p>
      <w:pPr>
        <w:pStyle w:val="Heading1"/>
        <w:spacing w:before="288"/>
      </w:pPr>
      <w:r>
        <w:rPr>
          <w:color w:val="FF8100"/>
          <w:spacing w:val="-2"/>
        </w:rPr>
        <w:t>ADMISSIONS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  <w:spacing w:val="-2"/>
        </w:rPr>
        <w:t>California</w:t>
      </w:r>
    </w:p>
    <w:sectPr>
      <w:pgSz w:w="12240" w:h="15840"/>
      <w:pgMar w:top="50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trusts-estates/" TargetMode="External"/><Relationship Id="rId9" Type="http://schemas.openxmlformats.org/officeDocument/2006/relationships/hyperlink" Target="https://www.fennemorelaw.com/contact-us/oakland/" TargetMode="External"/><Relationship Id="rId10" Type="http://schemas.openxmlformats.org/officeDocument/2006/relationships/hyperlink" Target="mailto:mdellosso@fennemorelaw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Monica Dell'Osso - Fennemore</dc:title>
  <dcterms:created xsi:type="dcterms:W3CDTF">2026-08-20T22:34:32Z</dcterms:created>
  <dcterms:modified xsi:type="dcterms:W3CDTF">2026-08-20T22:34:32Z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2026-08-20T00:00:00Z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2026-08-20T00:00:00Z</vt:filetime>
  </property>
  <property fmtid="{D5CDD505-2E9C-101B-9397-08002B2CF9AE}" pid="6" name="Producer">
    <vt:lpwstr>Skia/PDF m151</vt:lpwstr>
  </property>
</Properties>
</file>