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7" w:lineRule="auto"/>
        <w:ind w:left="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Nicholas Thompson 0047 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76417" y="763308"/>
                            <a:ext cx="156781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NICHOLAS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H.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THOMPSON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29104" y="2500373"/>
                            <a:ext cx="16624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nthompson@fennemorelaw.com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729757" y="3756030"/>
                            <a:ext cx="262826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"Do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can,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have,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are."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Theodore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Roosevelt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878964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NICHOLAS</w:t>
                              </w:r>
                              <w:r>
                                <w:rPr>
                                  <w:b/>
                                  <w:color w:val="FF8100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color w:val="FF8100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THOMPSON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Nicholas Thompson 0047 Website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83;top:-6403;width:2469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NICHOLAS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H.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THOMPSON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4245;width:59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303.813.3891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208;top:-3667;width:261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nthompson@fennemorelaw.com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060;top:-1690;width:4139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"Do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can,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have,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where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are."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Theodore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Roosevelt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95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NICHOLAS</w:t>
                        </w:r>
                        <w:r>
                          <w:rPr>
                            <w:b/>
                            <w:color w:val="FF8100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z w:val="24"/>
                          </w:rPr>
                          <w:t>H.</w:t>
                        </w:r>
                        <w:r>
                          <w:rPr>
                            <w:b/>
                            <w:color w:val="FF8100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THOMPSON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Nicholas Thompson is a seasoned mergers and acquisitions, business, tax, and trusts and estates</w:t>
      </w:r>
      <w:r>
        <w:rPr>
          <w:color w:val="6E6158"/>
          <w:spacing w:val="40"/>
        </w:rPr>
        <w:t> </w:t>
      </w:r>
      <w:r>
        <w:rPr>
          <w:color w:val="6E6158"/>
        </w:rPr>
        <w:t>attorney who counsels business owners, companies, and private investment funds through </w:t>
      </w:r>
      <w:r>
        <w:rPr>
          <w:color w:val="6E6158"/>
        </w:rPr>
        <w:t>every</w:t>
      </w:r>
      <w:r>
        <w:rPr>
          <w:color w:val="6E6158"/>
          <w:spacing w:val="40"/>
        </w:rPr>
        <w:t> </w:t>
      </w:r>
      <w:r>
        <w:rPr>
          <w:color w:val="6E6158"/>
        </w:rPr>
        <w:t>stage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lifecycle,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distinct</w:t>
      </w:r>
      <w:r>
        <w:rPr>
          <w:color w:val="6E6158"/>
          <w:spacing w:val="29"/>
        </w:rPr>
        <w:t> </w:t>
      </w:r>
      <w:r>
        <w:rPr>
          <w:color w:val="6E6158"/>
        </w:rPr>
        <w:t>emphasis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sales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succession</w:t>
      </w:r>
    </w:p>
    <w:p>
      <w:pPr>
        <w:pStyle w:val="BodyText"/>
        <w:spacing w:line="297" w:lineRule="auto"/>
        <w:ind w:left="99" w:right="254"/>
      </w:pPr>
      <w:r>
        <w:rPr>
          <w:color w:val="6E6158"/>
        </w:rPr>
        <w:t>planning. He is also Co-Chair of Fennemore’s </w:t>
      </w:r>
      <w:hyperlink r:id="rId11">
        <w:r>
          <w:rPr>
            <w:color w:val="F5821F"/>
          </w:rPr>
          <w:t>Mergers and Acquisitions</w:t>
        </w:r>
      </w:hyperlink>
      <w:r>
        <w:rPr>
          <w:color w:val="F5821F"/>
        </w:rPr>
        <w:t> </w:t>
      </w:r>
      <w:r>
        <w:rPr>
          <w:color w:val="6E6158"/>
        </w:rPr>
        <w:t>group. His </w:t>
      </w:r>
      <w:r>
        <w:rPr>
          <w:color w:val="6E6158"/>
        </w:rPr>
        <w:t>transactional</w:t>
      </w:r>
      <w:r>
        <w:rPr>
          <w:color w:val="6E6158"/>
          <w:spacing w:val="40"/>
        </w:rPr>
        <w:t> </w:t>
      </w:r>
      <w:r>
        <w:rPr>
          <w:color w:val="6E6158"/>
        </w:rPr>
        <w:t>practice is centered on seller-side M&amp;A representation, where he guides clients through the</w:t>
      </w:r>
      <w:r>
        <w:rPr>
          <w:color w:val="6E6158"/>
          <w:spacing w:val="40"/>
        </w:rPr>
        <w:t> </w:t>
      </w:r>
      <w:r>
        <w:rPr>
          <w:color w:val="6E6158"/>
        </w:rPr>
        <w:t>complexities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selling</w:t>
      </w:r>
      <w:r>
        <w:rPr>
          <w:color w:val="6E6158"/>
          <w:spacing w:val="34"/>
        </w:rPr>
        <w:t> </w:t>
      </w:r>
      <w:r>
        <w:rPr>
          <w:color w:val="6E6158"/>
        </w:rPr>
        <w:t>their</w:t>
      </w:r>
      <w:r>
        <w:rPr>
          <w:color w:val="6E6158"/>
          <w:spacing w:val="34"/>
        </w:rPr>
        <w:t> </w:t>
      </w:r>
      <w:r>
        <w:rPr>
          <w:color w:val="6E6158"/>
        </w:rPr>
        <w:t>businesses,</w:t>
      </w:r>
      <w:r>
        <w:rPr>
          <w:color w:val="6E6158"/>
          <w:spacing w:val="34"/>
        </w:rPr>
        <w:t> </w:t>
      </w:r>
      <w:r>
        <w:rPr>
          <w:color w:val="6E6158"/>
        </w:rPr>
        <w:t>from</w:t>
      </w:r>
      <w:r>
        <w:rPr>
          <w:color w:val="6E6158"/>
          <w:spacing w:val="34"/>
        </w:rPr>
        <w:t> </w:t>
      </w:r>
      <w:r>
        <w:rPr>
          <w:color w:val="6E6158"/>
        </w:rPr>
        <w:t>strategic</w:t>
      </w:r>
      <w:r>
        <w:rPr>
          <w:color w:val="6E6158"/>
          <w:spacing w:val="34"/>
        </w:rPr>
        <w:t> </w:t>
      </w:r>
      <w:r>
        <w:rPr>
          <w:color w:val="6E6158"/>
        </w:rPr>
        <w:t>preparation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due</w:t>
      </w:r>
      <w:r>
        <w:rPr>
          <w:color w:val="6E6158"/>
          <w:spacing w:val="34"/>
        </w:rPr>
        <w:t> </w:t>
      </w:r>
      <w:r>
        <w:rPr>
          <w:color w:val="6E6158"/>
        </w:rPr>
        <w:t>diligence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</w:p>
    <w:p>
      <w:pPr>
        <w:pStyle w:val="BodyText"/>
        <w:spacing w:line="229" w:lineRule="exact"/>
        <w:ind w:left="99"/>
      </w:pPr>
      <w:r>
        <w:rPr>
          <w:color w:val="6E6158"/>
        </w:rPr>
        <w:t>negotiation,</w:t>
      </w:r>
      <w:r>
        <w:rPr>
          <w:color w:val="6E6158"/>
          <w:spacing w:val="16"/>
        </w:rPr>
        <w:t> </w:t>
      </w:r>
      <w:r>
        <w:rPr>
          <w:color w:val="6E6158"/>
        </w:rPr>
        <w:t>tax</w:t>
      </w:r>
      <w:r>
        <w:rPr>
          <w:color w:val="6E6158"/>
          <w:spacing w:val="16"/>
        </w:rPr>
        <w:t> </w:t>
      </w:r>
      <w:r>
        <w:rPr>
          <w:color w:val="6E6158"/>
        </w:rPr>
        <w:t>structuring,</w:t>
      </w:r>
      <w:r>
        <w:rPr>
          <w:color w:val="6E6158"/>
          <w:spacing w:val="16"/>
        </w:rPr>
        <w:t> </w:t>
      </w:r>
      <w:r>
        <w:rPr>
          <w:color w:val="6E6158"/>
        </w:rPr>
        <w:t>closing,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post-closing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transitions.</w:t>
      </w:r>
    </w:p>
    <w:p>
      <w:pPr>
        <w:pStyle w:val="BodyText"/>
        <w:spacing w:before="10"/>
      </w:pPr>
    </w:p>
    <w:p>
      <w:pPr>
        <w:pStyle w:val="BodyText"/>
        <w:ind w:left="99"/>
      </w:pPr>
      <w:r>
        <w:rPr>
          <w:color w:val="6E6158"/>
        </w:rPr>
        <w:t>Nick’s</w:t>
      </w:r>
      <w:r>
        <w:rPr>
          <w:color w:val="6E6158"/>
          <w:spacing w:val="13"/>
        </w:rPr>
        <w:t> </w:t>
      </w:r>
      <w:r>
        <w:rPr>
          <w:color w:val="6E6158"/>
        </w:rPr>
        <w:t>clients</w:t>
      </w:r>
      <w:r>
        <w:rPr>
          <w:color w:val="6E6158"/>
          <w:spacing w:val="13"/>
        </w:rPr>
        <w:t> </w:t>
      </w:r>
      <w:r>
        <w:rPr>
          <w:color w:val="6E6158"/>
        </w:rPr>
        <w:t>span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wide</w:t>
      </w:r>
      <w:r>
        <w:rPr>
          <w:color w:val="6E6158"/>
          <w:spacing w:val="14"/>
        </w:rPr>
        <w:t> </w:t>
      </w:r>
      <w:r>
        <w:rPr>
          <w:color w:val="6E6158"/>
        </w:rPr>
        <w:t>spectrum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industries,</w:t>
      </w:r>
      <w:r>
        <w:rPr>
          <w:color w:val="6E6158"/>
          <w:spacing w:val="13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</w:rPr>
        <w:t>professional</w:t>
      </w:r>
      <w:r>
        <w:rPr>
          <w:color w:val="6E6158"/>
          <w:spacing w:val="14"/>
        </w:rPr>
        <w:t> </w:t>
      </w:r>
      <w:r>
        <w:rPr>
          <w:color w:val="6E6158"/>
        </w:rPr>
        <w:t>services,</w:t>
      </w:r>
      <w:r>
        <w:rPr>
          <w:color w:val="6E6158"/>
          <w:spacing w:val="13"/>
        </w:rPr>
        <w:t> </w:t>
      </w:r>
      <w:r>
        <w:rPr>
          <w:color w:val="6E6158"/>
        </w:rPr>
        <w:t>software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7" w:lineRule="auto" w:before="52"/>
        <w:ind w:left="99" w:right="351"/>
      </w:pPr>
      <w:r>
        <w:rPr>
          <w:color w:val="6E6158"/>
        </w:rPr>
        <w:t>technology, construction, manufacturing, distribution, retail, and real estate. Known for his </w:t>
      </w:r>
      <w:r>
        <w:rPr>
          <w:color w:val="6E6158"/>
        </w:rPr>
        <w:t>clear</w:t>
      </w:r>
      <w:r>
        <w:rPr>
          <w:color w:val="6E6158"/>
          <w:spacing w:val="40"/>
        </w:rPr>
        <w:t> </w:t>
      </w:r>
      <w:r>
        <w:rPr>
          <w:color w:val="6E6158"/>
        </w:rPr>
        <w:t>and practical guidance, Nick helps business owners navigate high-stakes transactions while</w:t>
      </w:r>
      <w:r>
        <w:rPr>
          <w:color w:val="6E6158"/>
          <w:spacing w:val="40"/>
        </w:rPr>
        <w:t> </w:t>
      </w:r>
      <w:r>
        <w:rPr>
          <w:color w:val="6E6158"/>
        </w:rPr>
        <w:t>aligning deal structures with their long-term financial and legacy goals.</w:t>
      </w:r>
    </w:p>
    <w:p>
      <w:pPr>
        <w:pStyle w:val="BodyText"/>
        <w:spacing w:line="295" w:lineRule="auto" w:before="191"/>
        <w:ind w:left="99" w:right="254"/>
      </w:pPr>
      <w:r>
        <w:rPr>
          <w:color w:val="6E6158"/>
        </w:rPr>
        <w:t>Beyond M&amp;A, Nick maintains a robust trusts and estates practice, often serving business owners</w:t>
      </w:r>
      <w:r>
        <w:rPr>
          <w:color w:val="6E6158"/>
          <w:spacing w:val="40"/>
        </w:rPr>
        <w:t> </w:t>
      </w:r>
      <w:r>
        <w:rPr>
          <w:color w:val="6E6158"/>
        </w:rPr>
        <w:t>and multi-generational families whose estate planning needs intersect with business </w:t>
      </w:r>
      <w:r>
        <w:rPr>
          <w:color w:val="6E6158"/>
        </w:rPr>
        <w:t>succession.</w:t>
      </w:r>
      <w:r>
        <w:rPr>
          <w:color w:val="6E6158"/>
          <w:spacing w:val="40"/>
        </w:rPr>
        <w:t> </w:t>
      </w:r>
      <w:r>
        <w:rPr>
          <w:color w:val="6E6158"/>
        </w:rPr>
        <w:t>He designs comprehensive wealth transfer strategies that preserve legacy while achieving tax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efficiency.</w:t>
      </w:r>
    </w:p>
    <w:p>
      <w:pPr>
        <w:pStyle w:val="BodyText"/>
        <w:spacing w:line="295" w:lineRule="auto" w:before="197"/>
        <w:ind w:left="99" w:right="168"/>
      </w:pPr>
      <w:r>
        <w:rPr>
          <w:color w:val="6E6158"/>
        </w:rPr>
        <w:t>Nick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serves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outside</w:t>
      </w:r>
      <w:r>
        <w:rPr>
          <w:color w:val="6E6158"/>
          <w:spacing w:val="27"/>
        </w:rPr>
        <w:t> </w:t>
      </w:r>
      <w:r>
        <w:rPr>
          <w:color w:val="6E6158"/>
        </w:rPr>
        <w:t>general</w:t>
      </w:r>
      <w:r>
        <w:rPr>
          <w:color w:val="6E6158"/>
          <w:spacing w:val="27"/>
        </w:rPr>
        <w:t> </w:t>
      </w:r>
      <w:r>
        <w:rPr>
          <w:color w:val="6E6158"/>
        </w:rPr>
        <w:t>counsel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privately</w:t>
      </w:r>
      <w:r>
        <w:rPr>
          <w:color w:val="6E6158"/>
          <w:spacing w:val="27"/>
        </w:rPr>
        <w:t> </w:t>
      </w:r>
      <w:r>
        <w:rPr>
          <w:color w:val="6E6158"/>
        </w:rPr>
        <w:t>held</w:t>
      </w:r>
      <w:r>
        <w:rPr>
          <w:color w:val="6E6158"/>
          <w:spacing w:val="27"/>
        </w:rPr>
        <w:t> </w:t>
      </w:r>
      <w:r>
        <w:rPr>
          <w:color w:val="6E6158"/>
        </w:rPr>
        <w:t>businesses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nonprofits,</w:t>
      </w:r>
      <w:r>
        <w:rPr>
          <w:color w:val="6E6158"/>
          <w:spacing w:val="27"/>
        </w:rPr>
        <w:t> </w:t>
      </w:r>
      <w:r>
        <w:rPr>
          <w:color w:val="6E6158"/>
        </w:rPr>
        <w:t>advising on entity formation, corporate governance, operational matters, and reorganizations. His</w:t>
      </w:r>
      <w:r>
        <w:rPr>
          <w:color w:val="6E6158"/>
          <w:spacing w:val="40"/>
        </w:rPr>
        <w:t> </w:t>
      </w:r>
      <w:r>
        <w:rPr>
          <w:color w:val="6E6158"/>
        </w:rPr>
        <w:t>background in tax law, supported by an LL.M. in taxation, enables him to integrate </w:t>
      </w:r>
      <w:r>
        <w:rPr>
          <w:color w:val="6E6158"/>
        </w:rPr>
        <w:t>sophisticated</w:t>
      </w:r>
      <w:r>
        <w:rPr>
          <w:color w:val="6E6158"/>
          <w:spacing w:val="40"/>
        </w:rPr>
        <w:t> </w:t>
      </w:r>
      <w:r>
        <w:rPr>
          <w:color w:val="6E6158"/>
        </w:rPr>
        <w:t>tax planning into transactional and exit strategies, ensuring clients optimize outcomes and</w:t>
      </w:r>
      <w:r>
        <w:rPr>
          <w:color w:val="6E6158"/>
          <w:spacing w:val="80"/>
        </w:rPr>
        <w:t> </w:t>
      </w:r>
      <w:r>
        <w:rPr>
          <w:color w:val="6E6158"/>
        </w:rPr>
        <w:t>minimize tax burdens.</w:t>
      </w:r>
    </w:p>
    <w:p>
      <w:pPr>
        <w:pStyle w:val="BodyText"/>
        <w:spacing w:line="292" w:lineRule="auto" w:before="203"/>
        <w:ind w:left="99" w:right="351"/>
      </w:pPr>
      <w:r>
        <w:rPr>
          <w:color w:val="6E6158"/>
        </w:rPr>
        <w:t>In addition, Nick represents clients in tax disputes before the Colorado Department of </w:t>
      </w:r>
      <w:r>
        <w:rPr>
          <w:color w:val="6E6158"/>
        </w:rPr>
        <w:t>Revenue,</w:t>
      </w:r>
      <w:r>
        <w:rPr>
          <w:color w:val="6E6158"/>
          <w:spacing w:val="40"/>
        </w:rPr>
        <w:t> </w:t>
      </w:r>
      <w:r>
        <w:rPr>
          <w:color w:val="6E6158"/>
        </w:rPr>
        <w:t>the Internal Revenue Service, and the U.S. Tax Court.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351"/>
      </w:pPr>
      <w:r>
        <w:rPr>
          <w:color w:val="6E6158"/>
        </w:rPr>
        <w:t>When not practicing law, Nick enjoys golf, running, traveling, reading about history, </w:t>
      </w:r>
      <w:r>
        <w:rPr>
          <w:color w:val="6E6158"/>
        </w:rPr>
        <w:t>and watching sports.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5651"/>
      </w:pPr>
      <w:r>
        <w:rPr>
          <w:color w:val="6E6158"/>
        </w:rPr>
        <w:t>LL.M., Taxation, University of </w:t>
      </w:r>
      <w:r>
        <w:rPr>
          <w:color w:val="6E6158"/>
        </w:rPr>
        <w:t>Denver J.D., University of Denver</w:t>
      </w:r>
    </w:p>
    <w:p>
      <w:pPr>
        <w:pStyle w:val="BodyText"/>
        <w:spacing w:line="207" w:lineRule="exact"/>
        <w:ind w:left="343"/>
      </w:pPr>
      <w:r>
        <w:rPr>
          <w:color w:val="6E6158"/>
        </w:rPr>
        <w:t>Scholastic</w:t>
      </w:r>
      <w:r>
        <w:rPr>
          <w:color w:val="6E6158"/>
          <w:spacing w:val="15"/>
        </w:rPr>
        <w:t> </w:t>
      </w:r>
      <w:r>
        <w:rPr>
          <w:color w:val="6E6158"/>
        </w:rPr>
        <w:t>Excellence</w:t>
      </w:r>
      <w:r>
        <w:rPr>
          <w:color w:val="6E6158"/>
          <w:spacing w:val="16"/>
        </w:rPr>
        <w:t> </w:t>
      </w:r>
      <w:r>
        <w:rPr>
          <w:color w:val="6E6158"/>
        </w:rPr>
        <w:t>Award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6"/>
        </w:rPr>
        <w:t> </w:t>
      </w:r>
      <w:r>
        <w:rPr>
          <w:color w:val="6E6158"/>
        </w:rPr>
        <w:t>Highest</w:t>
      </w:r>
      <w:r>
        <w:rPr>
          <w:color w:val="6E6158"/>
          <w:spacing w:val="16"/>
        </w:rPr>
        <w:t> </w:t>
      </w:r>
      <w:r>
        <w:rPr>
          <w:color w:val="6E6158"/>
        </w:rPr>
        <w:t>Academic</w:t>
      </w:r>
      <w:r>
        <w:rPr>
          <w:color w:val="6E6158"/>
          <w:spacing w:val="16"/>
        </w:rPr>
        <w:t> </w:t>
      </w:r>
      <w:r>
        <w:rPr>
          <w:color w:val="6E6158"/>
        </w:rPr>
        <w:t>Performance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Scientific</w:t>
      </w:r>
      <w:r>
        <w:rPr>
          <w:color w:val="6E6158"/>
          <w:spacing w:val="16"/>
        </w:rPr>
        <w:t> </w:t>
      </w:r>
      <w:r>
        <w:rPr>
          <w:color w:val="6E6158"/>
        </w:rPr>
        <w:t>Evidence,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Sturm</w:t>
      </w:r>
    </w:p>
    <w:p>
      <w:pPr>
        <w:pStyle w:val="BodyText"/>
        <w:spacing w:before="51"/>
        <w:ind w:left="343"/>
      </w:pP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292" w:lineRule="auto" w:before="182"/>
        <w:ind w:left="343" w:right="351"/>
      </w:pPr>
      <w:r>
        <w:rPr>
          <w:color w:val="6E6158"/>
        </w:rPr>
        <w:t>Scholastic Excellence Award for Highest Academic Performance in American Legal History,</w:t>
      </w:r>
      <w:r>
        <w:rPr>
          <w:color w:val="6E6158"/>
          <w:spacing w:val="40"/>
        </w:rPr>
        <w:t> </w:t>
      </w:r>
      <w:r>
        <w:rPr>
          <w:color w:val="6E6158"/>
        </w:rPr>
        <w:t>Sturm College of Law</w:t>
      </w:r>
    </w:p>
    <w:p>
      <w:pPr>
        <w:pStyle w:val="BodyText"/>
        <w:spacing w:before="124"/>
        <w:ind w:left="99"/>
      </w:pPr>
      <w:r>
        <w:rPr>
          <w:color w:val="6E6158"/>
        </w:rPr>
        <w:t>B.A.,</w:t>
      </w:r>
      <w:r>
        <w:rPr>
          <w:color w:val="6E6158"/>
          <w:spacing w:val="9"/>
        </w:rPr>
        <w:t> </w:t>
      </w:r>
      <w:r>
        <w:rPr>
          <w:color w:val="6E6158"/>
        </w:rPr>
        <w:t>Duke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74"/>
        <w:ind w:left="99" w:right="5223"/>
      </w:pPr>
      <w:r>
        <w:rPr>
          <w:color w:val="6E6158"/>
        </w:rPr>
        <w:t>Family Office &amp; Private Client </w:t>
      </w:r>
      <w:r>
        <w:rPr>
          <w:color w:val="6E6158"/>
        </w:rPr>
        <w:t>Attorneys Mergers &amp; Acquisitions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82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292" w:lineRule="auto"/>
        <w:ind w:left="99" w:right="351"/>
      </w:pPr>
      <w:hyperlink r:id="rId12">
        <w:r>
          <w:rPr>
            <w:color w:val="F5821F"/>
          </w:rPr>
          <w:t>Served as legal counsel to Xybix, a leading designer and manufacturer of ergonomic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workstations and control-room furniture built for mission-critical, 24/7 environments, in </w:t>
        </w:r>
        <w:r>
          <w:rPr>
            <w:color w:val="F5821F"/>
          </w:rPr>
          <w:t>its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acquisition by Highland Rim Capital.</w:t>
        </w:r>
      </w:hyperlink>
    </w:p>
    <w:p>
      <w:pPr>
        <w:pStyle w:val="BodyText"/>
        <w:spacing w:line="297" w:lineRule="auto" w:before="124"/>
        <w:ind w:left="99" w:right="351"/>
      </w:pPr>
      <w:hyperlink r:id="rId13">
        <w:r>
          <w:rPr>
            <w:color w:val="F5821F"/>
          </w:rPr>
          <w:t>Served as the exclusive legal advisor to the CFO Project in its acquisition by Broadtree Partners,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supporting its goal to expand its community as the demand for business finance expertise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continues to grow.</w:t>
        </w:r>
      </w:hyperlink>
    </w:p>
    <w:p>
      <w:pPr>
        <w:pStyle w:val="BodyText"/>
        <w:spacing w:line="292" w:lineRule="auto" w:before="118"/>
        <w:ind w:left="99" w:right="254"/>
      </w:pPr>
      <w:hyperlink r:id="rId14">
        <w:r>
          <w:rPr>
            <w:color w:val="F5821F"/>
          </w:rPr>
          <w:t>Represented Argus Professional Storage Management, LLC in its combination with SmartStop </w:t>
        </w:r>
        <w:r>
          <w:rPr>
            <w:color w:val="F5821F"/>
          </w:rPr>
          <w:t>Self</w:t>
        </w:r>
      </w:hyperlink>
      <w:r>
        <w:rPr>
          <w:color w:val="F5821F"/>
          <w:spacing w:val="40"/>
        </w:rPr>
        <w:t> </w:t>
      </w:r>
      <w:hyperlink r:id="rId14">
        <w:r>
          <w:rPr>
            <w:color w:val="F5821F"/>
          </w:rPr>
          <w:t>Storage REIT, Inc. (NYSE: SMA).</w:t>
        </w:r>
      </w:hyperlink>
    </w:p>
    <w:p>
      <w:pPr>
        <w:pStyle w:val="BodyText"/>
        <w:spacing w:line="292" w:lineRule="auto" w:before="132"/>
        <w:ind w:left="99" w:right="351"/>
      </w:pPr>
      <w:r>
        <w:rPr>
          <w:color w:val="6E6158"/>
        </w:rPr>
        <w:t>Represented L&amp;R Pallet Service, Inc. in a $30 million asset purchase and sale of its business to</w:t>
      </w:r>
      <w:r>
        <w:rPr>
          <w:color w:val="6E6158"/>
          <w:spacing w:val="40"/>
        </w:rPr>
        <w:t> </w:t>
      </w:r>
      <w:r>
        <w:rPr>
          <w:color w:val="6E6158"/>
        </w:rPr>
        <w:t>Kamps, Inc.</w:t>
      </w:r>
    </w:p>
    <w:p>
      <w:pPr>
        <w:pStyle w:val="BodyText"/>
        <w:spacing w:line="292" w:lineRule="auto" w:before="123"/>
        <w:ind w:left="99" w:right="254"/>
      </w:pPr>
      <w:r>
        <w:rPr>
          <w:color w:val="6E6158"/>
        </w:rPr>
        <w:t>Represented Colorado Premier Restoration, Inc. in a $47.5 million asset purchase and sale of its</w:t>
      </w:r>
      <w:r>
        <w:rPr>
          <w:color w:val="6E6158"/>
          <w:spacing w:val="40"/>
        </w:rPr>
        <w:t> </w:t>
      </w:r>
      <w:r>
        <w:rPr>
          <w:color w:val="6E6158"/>
        </w:rPr>
        <w:t>business to BMS CAT of Colorado, LLC.</w:t>
      </w:r>
    </w:p>
    <w:p>
      <w:pPr>
        <w:pStyle w:val="BodyText"/>
        <w:spacing w:line="292" w:lineRule="auto" w:before="131"/>
        <w:ind w:left="99" w:right="351"/>
      </w:pPr>
      <w:r>
        <w:rPr>
          <w:color w:val="6E6158"/>
        </w:rPr>
        <w:t>Represented Tri County Fire Protection, Inc. in a $10 million asset purchase and sale of its business</w:t>
      </w:r>
      <w:r>
        <w:rPr>
          <w:color w:val="6E6158"/>
          <w:spacing w:val="40"/>
        </w:rPr>
        <w:t> </w:t>
      </w:r>
      <w:r>
        <w:rPr>
          <w:color w:val="6E6158"/>
        </w:rPr>
        <w:t>to Pye-Barker Fire &amp; Safety, LLC.</w:t>
      </w:r>
    </w:p>
    <w:p>
      <w:pPr>
        <w:pStyle w:val="BodyText"/>
        <w:spacing w:line="302" w:lineRule="auto" w:before="124"/>
        <w:ind w:left="99" w:right="351"/>
      </w:pPr>
      <w:r>
        <w:rPr>
          <w:color w:val="6E6158"/>
        </w:rPr>
        <w:t>Advised national professional sports league regarding tax implications and cross-border legal</w:t>
      </w:r>
      <w:r>
        <w:rPr>
          <w:color w:val="6E6158"/>
          <w:spacing w:val="40"/>
        </w:rPr>
        <w:t> </w:t>
      </w:r>
      <w:r>
        <w:rPr>
          <w:color w:val="6E6158"/>
        </w:rPr>
        <w:t>issues</w:t>
      </w:r>
      <w:r>
        <w:rPr>
          <w:color w:val="6E6158"/>
          <w:spacing w:val="12"/>
        </w:rPr>
        <w:t> </w:t>
      </w:r>
      <w:r>
        <w:rPr>
          <w:color w:val="6E6158"/>
        </w:rPr>
        <w:t>related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expansion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league</w:t>
      </w:r>
      <w:r>
        <w:rPr>
          <w:color w:val="6E6158"/>
          <w:spacing w:val="12"/>
        </w:rPr>
        <w:t> </w:t>
      </w:r>
      <w:r>
        <w:rPr>
          <w:color w:val="6E6158"/>
        </w:rPr>
        <w:t>into</w:t>
      </w:r>
      <w:r>
        <w:rPr>
          <w:color w:val="6E6158"/>
          <w:spacing w:val="12"/>
        </w:rPr>
        <w:t> </w:t>
      </w:r>
      <w:r>
        <w:rPr>
          <w:color w:val="6E6158"/>
        </w:rPr>
        <w:t>Canada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addition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Toronto</w:t>
      </w:r>
      <w:r>
        <w:rPr>
          <w:color w:val="6E6158"/>
          <w:spacing w:val="12"/>
        </w:rPr>
        <w:t> </w:t>
      </w:r>
      <w:r>
        <w:rPr>
          <w:color w:val="6E6158"/>
        </w:rPr>
        <w:t>based</w:t>
      </w:r>
      <w:r>
        <w:rPr>
          <w:color w:val="6E6158"/>
          <w:spacing w:val="12"/>
        </w:rPr>
        <w:t> </w:t>
      </w:r>
      <w:r>
        <w:rPr>
          <w:color w:val="6E6158"/>
        </w:rPr>
        <w:t>team.</w:t>
      </w:r>
    </w:p>
    <w:p>
      <w:pPr>
        <w:pStyle w:val="BodyText"/>
        <w:spacing w:line="292" w:lineRule="auto" w:before="112"/>
        <w:ind w:left="99" w:right="396"/>
      </w:pPr>
      <w:r>
        <w:rPr>
          <w:color w:val="6E6158"/>
        </w:rPr>
        <w:t>Serves as general counsel and advisory board member to one of the top five largest construction companies in Colorado.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/>
      </w:pPr>
      <w:r>
        <w:rPr>
          <w:color w:val="6E6158"/>
        </w:rPr>
        <w:t>Serves as general counsel and advisory board member to automotive dealership group that has</w:t>
      </w:r>
      <w:r>
        <w:rPr>
          <w:color w:val="6E6158"/>
          <w:spacing w:val="40"/>
        </w:rPr>
        <w:t> </w:t>
      </w:r>
      <w:r>
        <w:rPr>
          <w:color w:val="6E6158"/>
        </w:rPr>
        <w:t>been in business in Colorado for 100 years.</w:t>
      </w:r>
    </w:p>
    <w:p>
      <w:pPr>
        <w:pStyle w:val="BodyText"/>
        <w:spacing w:line="292" w:lineRule="auto" w:before="132"/>
        <w:ind w:left="99" w:right="351"/>
      </w:pPr>
      <w:r>
        <w:rPr>
          <w:color w:val="6E6158"/>
        </w:rPr>
        <w:t>Represents numerous high net worth (excess of $50 million) individuals and families with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and comprehensive estate and tax planning.</w:t>
      </w:r>
    </w:p>
    <w:p>
      <w:pPr>
        <w:pStyle w:val="BodyText"/>
        <w:spacing w:line="292" w:lineRule="auto" w:before="123"/>
        <w:ind w:left="99"/>
      </w:pPr>
      <w:r>
        <w:rPr>
          <w:color w:val="6E6158"/>
        </w:rPr>
        <w:t>Represents a variety of investment funds through all phases of fund lifecycles, from structure, to</w:t>
      </w:r>
      <w:r>
        <w:rPr>
          <w:color w:val="6E6158"/>
          <w:spacing w:val="40"/>
        </w:rPr>
        <w:t> </w:t>
      </w:r>
      <w:r>
        <w:rPr>
          <w:color w:val="6E6158"/>
        </w:rPr>
        <w:t>formation, to investment, to liquidation.</w:t>
      </w:r>
    </w:p>
    <w:p>
      <w:pPr>
        <w:pStyle w:val="BodyText"/>
        <w:spacing w:before="12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Legal</w:t>
      </w:r>
      <w:r>
        <w:rPr>
          <w:color w:val="6E6158"/>
          <w:spacing w:val="13"/>
        </w:rPr>
        <w:t> </w:t>
      </w:r>
      <w:r>
        <w:rPr>
          <w:color w:val="6E6158"/>
        </w:rPr>
        <w:t>500</w:t>
      </w:r>
      <w:r>
        <w:rPr>
          <w:color w:val="6E6158"/>
          <w:spacing w:val="14"/>
        </w:rPr>
        <w:t> </w:t>
      </w:r>
      <w:r>
        <w:rPr>
          <w:color w:val="6E6158"/>
        </w:rPr>
        <w:t>Denver</w:t>
      </w:r>
      <w:r>
        <w:rPr>
          <w:color w:val="6E6158"/>
          <w:spacing w:val="14"/>
        </w:rPr>
        <w:t> </w:t>
      </w:r>
      <w:r>
        <w:rPr>
          <w:color w:val="6E6158"/>
        </w:rPr>
        <w:t>Elite,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M&amp;A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Rankings,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spacing w:before="16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71"/>
        <w:ind w:left="99"/>
      </w:pPr>
      <w:hyperlink r:id="rId15">
        <w:r>
          <w:rPr>
            <w:color w:val="F5821F"/>
          </w:rPr>
          <w:t>Colorado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Super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Rising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Star: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Business/Corporate,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2021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14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420" w:lineRule="auto"/>
        <w:ind w:left="99" w:right="2548"/>
      </w:pPr>
      <w:r>
        <w:rPr>
          <w:color w:val="6E6158"/>
        </w:rPr>
        <w:t>Colorado Bar Association, Tax Section, Executive Council </w:t>
      </w:r>
      <w:r>
        <w:rPr>
          <w:color w:val="6E6158"/>
        </w:rPr>
        <w:t>Member Denver Estate Planning Council</w:t>
      </w:r>
    </w:p>
    <w:p>
      <w:pPr>
        <w:pStyle w:val="BodyText"/>
        <w:spacing w:line="420" w:lineRule="auto"/>
        <w:ind w:left="99" w:right="5223"/>
      </w:pPr>
      <w:r>
        <w:rPr>
          <w:color w:val="6E6158"/>
        </w:rPr>
        <w:t>TaxForward (formerly Future Tax </w:t>
      </w:r>
      <w:r>
        <w:rPr>
          <w:color w:val="6E6158"/>
        </w:rPr>
        <w:t>Leaders) The Exiter Club</w:t>
      </w:r>
    </w:p>
    <w:p>
      <w:pPr>
        <w:pStyle w:val="Heading1"/>
        <w:spacing w:before="289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/>
        <w:ind w:left="99" w:right="351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Let go of your EGO: How delegation drives business value</w:t>
        </w:r>
      </w:hyperlink>
      <w:r>
        <w:rPr>
          <w:color w:val="6E6158"/>
        </w:rPr>
        <w:t>,” Denver Business </w:t>
      </w:r>
      <w:r>
        <w:rPr>
          <w:color w:val="6E6158"/>
        </w:rPr>
        <w:t>Journal, August 1, 2026</w:t>
      </w:r>
    </w:p>
    <w:p>
      <w:pPr>
        <w:pStyle w:val="BodyText"/>
        <w:spacing w:line="302" w:lineRule="auto" w:before="123"/>
        <w:ind w:left="99" w:right="351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before="102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  <w:ind w:left="99"/>
      </w:pPr>
      <w:r>
        <w:rPr>
          <w:color w:val="6E6158"/>
        </w:rPr>
        <w:t>United</w:t>
      </w:r>
      <w:r>
        <w:rPr>
          <w:color w:val="6E6158"/>
          <w:spacing w:val="7"/>
        </w:rPr>
        <w:t> </w:t>
      </w:r>
      <w:r>
        <w:rPr>
          <w:color w:val="6E6158"/>
        </w:rPr>
        <w:t>States</w:t>
      </w:r>
      <w:r>
        <w:rPr>
          <w:color w:val="6E6158"/>
          <w:spacing w:val="6"/>
        </w:rPr>
        <w:t> </w:t>
      </w:r>
      <w:r>
        <w:rPr>
          <w:color w:val="6E6158"/>
        </w:rPr>
        <w:t>Tax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nthompson@fennemorelaw.com" TargetMode="External"/><Relationship Id="rId11" Type="http://schemas.openxmlformats.org/officeDocument/2006/relationships/hyperlink" Target="https://www.fennemorelaw.com/services/mergers-acquisitions/" TargetMode="External"/><Relationship Id="rId12" Type="http://schemas.openxmlformats.org/officeDocument/2006/relationships/hyperlink" Target="https://www.fennemorelaw.com/fennemore-represents-xybyx-in-strategic-sale-to-highland-rim-capital/" TargetMode="External"/><Relationship Id="rId13" Type="http://schemas.openxmlformats.org/officeDocument/2006/relationships/hyperlink" Target="https://www.fennemorelaw.com/fennemore-represents-the-cfo-project-in-significant-business-sale/" TargetMode="External"/><Relationship Id="rId14" Type="http://schemas.openxmlformats.org/officeDocument/2006/relationships/hyperlink" Target="https://www.fennemorelaw.com/fennemore-represents-argus-professional-storage-management-in-a-significant-contribution-agreement/" TargetMode="External"/><Relationship Id="rId15" Type="http://schemas.openxmlformats.org/officeDocument/2006/relationships/hyperlink" Target="https://profiles.superlawyers.com/colorado/denver/lawyer/nicholas-hager-thompson/d69415ab-fe8d-4c8e-b2c7-df2324ac3073.html" TargetMode="External"/><Relationship Id="rId16" Type="http://schemas.openxmlformats.org/officeDocument/2006/relationships/hyperlink" Target="https://www.bizjournals.com/denver/news/2026/08/01/let-go-of-ego-delegation-drives-business-value.html" TargetMode="External"/><Relationship Id="rId17" Type="http://schemas.openxmlformats.org/officeDocument/2006/relationships/hyperlink" Target="https://www.fennemorelaw.com/business-contracts-in-2025-straightforward-answers-for-nuanced-situation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Nicholas H. Thompson - Fennemore</dc:title>
  <dcterms:created xsi:type="dcterms:W3CDTF">2026-08-20T19:06:08Z</dcterms:created>
  <dcterms:modified xsi:type="dcterms:W3CDTF">2026-08-20T19:06:08Z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