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236"/>
        <w:ind w:left="0"/>
        <w:rPr>
          <w:rFonts w:ascii="Times New Roman"/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-2956956</wp:posOffset>
                </wp:positionV>
                <wp:extent cx="6071870" cy="2888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Sam Efird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96437" y="1369338"/>
                            <a:ext cx="191770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7700" h="320675">
                                <a:moveTo>
                                  <a:pt x="191707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917077" y="320382"/>
                                </a:lnTo>
                                <a:lnTo>
                                  <a:pt x="1917077" y="315214"/>
                                </a:lnTo>
                                <a:close/>
                              </a:path>
                              <a:path w="1917700" h="320675">
                                <a:moveTo>
                                  <a:pt x="19170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917077" y="5168"/>
                                </a:lnTo>
                                <a:lnTo>
                                  <a:pt x="1917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594269" y="763308"/>
                            <a:ext cx="1931670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SAMUEL S.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EFIRD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57497" y="1859626"/>
                            <a:ext cx="4051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32297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00881" y="201978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602.916.5540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81701" y="2226505"/>
                            <a:ext cx="135699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sefird@fennemorelaw.com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32.831253pt;width:478.1pt;height:227.45pt;mso-position-horizontal-relative:page;mso-position-vertical-relative:paragraph;z-index:15728640" id="docshapegroup1" coordorigin="1336,-4657" coordsize="9562,4549">
                <v:shape style="position:absolute;left:1336;top:-4657;width:2165;height:424" type="#_x0000_t75" id="docshape2" alt="Fennemore" href="https://www.fennemorelaw.com/" stroked="false">
                  <v:imagedata r:id="rId5" o:title=""/>
                </v:shape>
                <v:shape style="position:absolute;left:1336;top:-4234;width:4785;height:4126" type="#_x0000_t75" id="docshape3" alt="Sam Efird" stroked="false">
                  <v:imagedata r:id="rId7" o:title=""/>
                </v:shape>
                <v:rect style="position:absolute;left:6121;top:-4234;width:4777;height:4126" id="docshape4" filled="true" fillcolor="#262424" stroked="false">
                  <v:fill type="solid"/>
                </v:rect>
                <v:shape style="position:absolute;left:6999;top:-2501;width:3020;height:505" id="docshape5" coordorigin="7000,-2500" coordsize="3020,505" path="m10019,-2004l7000,-2004,7000,-1996,10019,-1996,10019,-2004xm10019,-2500l7000,-2500,7000,-2492,10019,-2492,10019,-250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996;top:-3455;width:3042;height:1300" type="#_x0000_t202" id="docshape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SAMUEL S.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EFIRD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98;top:-1729;width:638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056;top:-1476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602.916.5340</w:t>
                        </w:r>
                      </w:p>
                    </w:txbxContent>
                  </v:textbox>
                  <w10:wrap type="none"/>
                </v:shape>
                <v:shape style="position:absolute;left:8739;top:-1476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602.916.5540</w:t>
                        </w:r>
                      </w:p>
                    </w:txbxContent>
                  </v:textbox>
                  <w10:wrap type="none"/>
                </v:shape>
                <v:shape style="position:absolute;left:7449;top:-1151;width:2137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sefird@fennemorelaw.com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02E6B"/>
          <w:sz w:val="24"/>
        </w:rPr>
        <w:t>SAMUEL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z w:val="24"/>
        </w:rPr>
        <w:t>S.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pacing w:val="-2"/>
          <w:sz w:val="24"/>
        </w:rPr>
        <w:t>EFIRD</w:t>
      </w:r>
    </w:p>
    <w:p>
      <w:pPr>
        <w:pStyle w:val="BodyText"/>
        <w:spacing w:line="295" w:lineRule="auto" w:before="147"/>
        <w:ind w:right="243"/>
      </w:pPr>
      <w:r>
        <w:rPr>
          <w:color w:val="6E6158"/>
        </w:rPr>
        <w:t>Sam is a member of the firm’s business and finance practice group and focuses on general</w:t>
      </w:r>
      <w:r>
        <w:rPr>
          <w:color w:val="6E6158"/>
          <w:spacing w:val="40"/>
        </w:rPr>
        <w:t> </w:t>
      </w:r>
      <w:r>
        <w:rPr>
          <w:color w:val="6E6158"/>
        </w:rPr>
        <w:t>corporate law, entity formation and governance, mergers and acquisitions, and venture </w:t>
      </w:r>
      <w:r>
        <w:rPr>
          <w:color w:val="6E6158"/>
        </w:rPr>
        <w:t>capital</w:t>
      </w:r>
      <w:r>
        <w:rPr>
          <w:color w:val="6E6158"/>
          <w:spacing w:val="40"/>
        </w:rPr>
        <w:t> </w:t>
      </w:r>
      <w:r>
        <w:rPr>
          <w:color w:val="6E6158"/>
        </w:rPr>
        <w:t>transactions. He also helps clients navigate the tax implications of their business activities,</w:t>
      </w:r>
      <w:r>
        <w:rPr>
          <w:color w:val="6E6158"/>
          <w:spacing w:val="40"/>
        </w:rPr>
        <w:t> </w:t>
      </w:r>
      <w:r>
        <w:rPr>
          <w:color w:val="6E6158"/>
        </w:rPr>
        <w:t>particularly</w:t>
      </w:r>
      <w:r>
        <w:rPr>
          <w:color w:val="6E6158"/>
          <w:spacing w:val="33"/>
        </w:rPr>
        <w:t> </w:t>
      </w:r>
      <w:r>
        <w:rPr>
          <w:color w:val="6E6158"/>
        </w:rPr>
        <w:t>as</w:t>
      </w:r>
      <w:r>
        <w:rPr>
          <w:color w:val="6E6158"/>
          <w:spacing w:val="33"/>
        </w:rPr>
        <w:t> </w:t>
      </w:r>
      <w:r>
        <w:rPr>
          <w:color w:val="6E6158"/>
        </w:rPr>
        <w:t>it</w:t>
      </w:r>
      <w:r>
        <w:rPr>
          <w:color w:val="6E6158"/>
          <w:spacing w:val="33"/>
        </w:rPr>
        <w:t> </w:t>
      </w:r>
      <w:r>
        <w:rPr>
          <w:color w:val="6E6158"/>
        </w:rPr>
        <w:t>relates</w:t>
      </w:r>
      <w:r>
        <w:rPr>
          <w:color w:val="6E6158"/>
          <w:spacing w:val="33"/>
        </w:rPr>
        <w:t> </w:t>
      </w:r>
      <w:r>
        <w:rPr>
          <w:color w:val="6E6158"/>
        </w:rPr>
        <w:t>to</w:t>
      </w:r>
      <w:r>
        <w:rPr>
          <w:color w:val="6E6158"/>
          <w:spacing w:val="33"/>
        </w:rPr>
        <w:t> </w:t>
      </w:r>
      <w:r>
        <w:rPr>
          <w:color w:val="6E6158"/>
        </w:rPr>
        <w:t>forming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operating</w:t>
      </w:r>
      <w:r>
        <w:rPr>
          <w:color w:val="6E6158"/>
          <w:spacing w:val="33"/>
        </w:rPr>
        <w:t> </w:t>
      </w:r>
      <w:r>
        <w:rPr>
          <w:color w:val="6E6158"/>
        </w:rPr>
        <w:t>partnerships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limited</w:t>
      </w:r>
      <w:r>
        <w:rPr>
          <w:color w:val="6E6158"/>
          <w:spacing w:val="33"/>
        </w:rPr>
        <w:t> </w:t>
      </w:r>
      <w:r>
        <w:rPr>
          <w:color w:val="6E6158"/>
        </w:rPr>
        <w:t>liability</w:t>
      </w:r>
      <w:r>
        <w:rPr>
          <w:color w:val="6E6158"/>
          <w:spacing w:val="33"/>
        </w:rPr>
        <w:t> </w:t>
      </w:r>
      <w:r>
        <w:rPr>
          <w:color w:val="6E6158"/>
        </w:rPr>
        <w:t>companies.</w:t>
      </w:r>
    </w:p>
    <w:p>
      <w:pPr>
        <w:pStyle w:val="BodyText"/>
        <w:spacing w:line="292" w:lineRule="auto" w:before="205"/>
        <w:ind w:right="408"/>
      </w:pPr>
      <w:r>
        <w:rPr>
          <w:color w:val="6E6158"/>
        </w:rPr>
        <w:t>Prior to joining Fennemore, Sam worked for the United States Senate and Arizona Chamber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Commerce and Industry. He also externed with the State of Arizona Governor’s Office of</w:t>
      </w:r>
      <w:r>
        <w:rPr>
          <w:color w:val="6E6158"/>
          <w:spacing w:val="40"/>
        </w:rPr>
        <w:t> </w:t>
      </w:r>
      <w:r>
        <w:rPr>
          <w:color w:val="6E6158"/>
        </w:rPr>
        <w:t>General Counsel and the Maricopa County Attorney’s Office.</w:t>
      </w:r>
    </w:p>
    <w:p>
      <w:pPr>
        <w:pStyle w:val="BodyText"/>
        <w:spacing w:line="297" w:lineRule="auto" w:before="197"/>
        <w:ind w:right="271"/>
      </w:pPr>
      <w:r>
        <w:rPr>
          <w:color w:val="6E6158"/>
        </w:rPr>
        <w:t>Outside of work, Sam enjoys spending time with his wife and their two dogs, watching </w:t>
      </w:r>
      <w:r>
        <w:rPr>
          <w:color w:val="6E6158"/>
        </w:rPr>
        <w:t>college</w:t>
      </w:r>
      <w:r>
        <w:rPr>
          <w:color w:val="6E6158"/>
          <w:spacing w:val="40"/>
        </w:rPr>
        <w:t> </w:t>
      </w:r>
      <w:r>
        <w:rPr>
          <w:color w:val="6E6158"/>
        </w:rPr>
        <w:t>sports, reading, and exploring the outdoors. Sam also serves on the board of a local charter</w:t>
      </w:r>
      <w:r>
        <w:rPr>
          <w:color w:val="6E6158"/>
          <w:spacing w:val="40"/>
        </w:rPr>
        <w:t> </w:t>
      </w:r>
      <w:r>
        <w:rPr>
          <w:color w:val="6E6158"/>
        </w:rPr>
        <w:t>school and its management company.</w:t>
      </w:r>
    </w:p>
    <w:p>
      <w:pPr>
        <w:pStyle w:val="Heading1"/>
        <w:spacing w:before="157"/>
      </w:pPr>
      <w:r>
        <w:rPr>
          <w:color w:val="FF8100"/>
          <w:spacing w:val="-2"/>
        </w:rPr>
        <w:t>EDUCATION</w:t>
      </w:r>
    </w:p>
    <w:p>
      <w:pPr>
        <w:pStyle w:val="BodyText"/>
        <w:spacing w:before="18"/>
        <w:ind w:left="0"/>
        <w:rPr>
          <w:b/>
        </w:rPr>
      </w:pPr>
    </w:p>
    <w:p>
      <w:pPr>
        <w:pStyle w:val="BodyText"/>
        <w:rPr>
          <w:i/>
          <w:sz w:val="20"/>
        </w:rPr>
      </w:pPr>
      <w:r>
        <w:rPr>
          <w:color w:val="6E6158"/>
        </w:rPr>
        <w:t>J.D.,</w:t>
      </w:r>
      <w:r>
        <w:rPr>
          <w:color w:val="6E6158"/>
          <w:spacing w:val="7"/>
        </w:rPr>
        <w:t> </w:t>
      </w:r>
      <w:r>
        <w:rPr>
          <w:color w:val="6E6158"/>
        </w:rPr>
        <w:t>Arizona</w:t>
      </w:r>
      <w:r>
        <w:rPr>
          <w:color w:val="6E6158"/>
          <w:spacing w:val="8"/>
        </w:rPr>
        <w:t> </w:t>
      </w:r>
      <w:r>
        <w:rPr>
          <w:color w:val="6E6158"/>
        </w:rPr>
        <w:t>State</w:t>
      </w:r>
      <w:r>
        <w:rPr>
          <w:color w:val="6E6158"/>
          <w:spacing w:val="8"/>
        </w:rPr>
        <w:t> </w:t>
      </w:r>
      <w:r>
        <w:rPr>
          <w:color w:val="6E6158"/>
        </w:rPr>
        <w:t>University,</w:t>
      </w:r>
      <w:r>
        <w:rPr>
          <w:color w:val="6E6158"/>
          <w:spacing w:val="7"/>
        </w:rPr>
        <w:t> </w:t>
      </w:r>
      <w:r>
        <w:rPr>
          <w:color w:val="6E6158"/>
        </w:rPr>
        <w:t>Sandra</w:t>
      </w:r>
      <w:r>
        <w:rPr>
          <w:color w:val="6E6158"/>
          <w:spacing w:val="8"/>
        </w:rPr>
        <w:t> </w:t>
      </w:r>
      <w:r>
        <w:rPr>
          <w:color w:val="6E6158"/>
        </w:rPr>
        <w:t>Day</w:t>
      </w:r>
      <w:r>
        <w:rPr>
          <w:color w:val="6E6158"/>
          <w:spacing w:val="8"/>
        </w:rPr>
        <w:t> </w:t>
      </w:r>
      <w:r>
        <w:rPr>
          <w:color w:val="6E6158"/>
        </w:rPr>
        <w:t>O’Connor</w:t>
      </w:r>
      <w:r>
        <w:rPr>
          <w:color w:val="6E6158"/>
          <w:spacing w:val="7"/>
        </w:rPr>
        <w:t> </w:t>
      </w:r>
      <w:r>
        <w:rPr>
          <w:color w:val="6E6158"/>
        </w:rPr>
        <w:t>College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Law,</w:t>
      </w:r>
      <w:r>
        <w:rPr>
          <w:color w:val="6E6158"/>
          <w:spacing w:val="8"/>
        </w:rPr>
        <w:t> </w:t>
      </w:r>
      <w:r>
        <w:rPr>
          <w:i/>
          <w:color w:val="6E6158"/>
          <w:sz w:val="20"/>
        </w:rPr>
        <w:t>magna</w:t>
      </w:r>
      <w:r>
        <w:rPr>
          <w:i/>
          <w:color w:val="6E6158"/>
          <w:spacing w:val="5"/>
          <w:sz w:val="2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5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line="278" w:lineRule="auto" w:before="170"/>
        <w:ind w:right="243"/>
        <w:rPr>
          <w:i/>
          <w:sz w:val="20"/>
        </w:rPr>
      </w:pPr>
      <w:r>
        <w:rPr>
          <w:color w:val="6E6158"/>
        </w:rPr>
        <w:t>B.S., Finance and Entrepreneurship University of Arizona, Eller College of Management, </w:t>
      </w:r>
      <w:r>
        <w:rPr>
          <w:i/>
          <w:color w:val="6E6158"/>
          <w:sz w:val="20"/>
        </w:rPr>
        <w:t>magna</w:t>
      </w:r>
      <w:r>
        <w:rPr>
          <w:i/>
          <w:color w:val="6E6158"/>
          <w:sz w:val="20"/>
        </w:rPr>
        <w:t> cum laude</w:t>
      </w:r>
    </w:p>
    <w:p>
      <w:pPr>
        <w:pStyle w:val="BodyText"/>
        <w:spacing w:line="420" w:lineRule="auto" w:before="132"/>
        <w:ind w:right="7376"/>
      </w:pPr>
      <w:r>
        <w:rPr>
          <w:color w:val="6E6158"/>
        </w:rPr>
        <w:t>Order of the Coif Order</w:t>
      </w:r>
      <w:r>
        <w:rPr>
          <w:color w:val="6E6158"/>
          <w:spacing w:val="7"/>
        </w:rPr>
        <w:t> </w:t>
      </w:r>
      <w:r>
        <w:rPr>
          <w:color w:val="6E6158"/>
        </w:rPr>
        <w:t>of</w:t>
      </w:r>
      <w:r>
        <w:rPr>
          <w:color w:val="6E6158"/>
          <w:spacing w:val="7"/>
        </w:rPr>
        <w:t> </w:t>
      </w:r>
      <w:r>
        <w:rPr>
          <w:color w:val="6E6158"/>
          <w:spacing w:val="-2"/>
        </w:rPr>
        <w:t>Barristers</w:t>
      </w:r>
    </w:p>
    <w:p>
      <w:pPr>
        <w:spacing w:line="408" w:lineRule="auto" w:before="7"/>
        <w:ind w:left="99" w:right="3149" w:firstLine="0"/>
        <w:jc w:val="left"/>
        <w:rPr>
          <w:i/>
          <w:sz w:val="20"/>
        </w:rPr>
      </w:pPr>
      <w:r>
        <w:rPr>
          <w:color w:val="6E6158"/>
          <w:sz w:val="19"/>
        </w:rPr>
        <w:t>Chairman, Arizona State University, Executive Moot Court </w:t>
      </w:r>
      <w:r>
        <w:rPr>
          <w:color w:val="6E6158"/>
          <w:sz w:val="19"/>
        </w:rPr>
        <w:t>Board Associate Editor, </w:t>
      </w:r>
      <w:r>
        <w:rPr>
          <w:i/>
          <w:color w:val="6E6158"/>
          <w:sz w:val="20"/>
        </w:rPr>
        <w:t>Arizona State University Law Journal</w:t>
      </w:r>
    </w:p>
    <w:p>
      <w:pPr>
        <w:pStyle w:val="Heading1"/>
        <w:spacing w:before="284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7376"/>
      </w:pPr>
      <w:r>
        <w:rPr>
          <w:color w:val="6E6158"/>
        </w:rPr>
        <w:t>Business &amp; </w:t>
      </w:r>
      <w:r>
        <w:rPr>
          <w:color w:val="6E6158"/>
        </w:rPr>
        <w:t>Finance Tax Law</w:t>
      </w:r>
    </w:p>
    <w:p>
      <w:pPr>
        <w:pStyle w:val="BodyText"/>
        <w:spacing w:line="420" w:lineRule="auto" w:before="6"/>
        <w:ind w:right="5717"/>
      </w:pPr>
      <w:r>
        <w:rPr>
          <w:color w:val="6E6158"/>
        </w:rPr>
        <w:t>Emerging Businesses &amp; </w:t>
      </w:r>
      <w:r>
        <w:rPr>
          <w:color w:val="6E6158"/>
        </w:rPr>
        <w:t>Technologies Venture Accelerator</w:t>
      </w:r>
    </w:p>
    <w:p>
      <w:pPr>
        <w:pStyle w:val="BodyText"/>
        <w:spacing w:line="231" w:lineRule="exact"/>
      </w:pPr>
      <w:r>
        <w:rPr>
          <w:color w:val="6E6158"/>
        </w:rPr>
        <w:t>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Planning</w:t>
      </w:r>
    </w:p>
    <w:p>
      <w:pPr>
        <w:pStyle w:val="BodyText"/>
        <w:spacing w:after="0" w:line="231" w:lineRule="exact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422" w:lineRule="auto" w:before="83"/>
        <w:ind w:right="7376"/>
      </w:pPr>
      <w:r>
        <w:rPr>
          <w:color w:val="6E6158"/>
        </w:rPr>
        <w:t>Estate Litigation Trusts &amp; Estates Cannabis </w:t>
      </w:r>
      <w:r>
        <w:rPr>
          <w:color w:val="6E6158"/>
        </w:rPr>
        <w:t>Business</w:t>
      </w:r>
    </w:p>
    <w:p>
      <w:pPr>
        <w:pStyle w:val="Heading1"/>
        <w:spacing w:before="28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Represented</w:t>
      </w:r>
      <w:r>
        <w:rPr>
          <w:color w:val="6E6158"/>
          <w:spacing w:val="14"/>
        </w:rPr>
        <w:t> </w:t>
      </w:r>
      <w:r>
        <w:rPr>
          <w:color w:val="6E6158"/>
        </w:rPr>
        <w:t>a</w:t>
      </w:r>
      <w:r>
        <w:rPr>
          <w:color w:val="6E6158"/>
          <w:spacing w:val="14"/>
        </w:rPr>
        <w:t> </w:t>
      </w:r>
      <w:r>
        <w:rPr>
          <w:color w:val="6E6158"/>
        </w:rPr>
        <w:t>Fortune</w:t>
      </w:r>
      <w:r>
        <w:rPr>
          <w:color w:val="6E6158"/>
          <w:spacing w:val="14"/>
        </w:rPr>
        <w:t> </w:t>
      </w:r>
      <w:r>
        <w:rPr>
          <w:color w:val="6E6158"/>
        </w:rPr>
        <w:t>500</w:t>
      </w:r>
      <w:r>
        <w:rPr>
          <w:color w:val="6E6158"/>
          <w:spacing w:val="14"/>
        </w:rPr>
        <w:t> </w:t>
      </w:r>
      <w:r>
        <w:rPr>
          <w:color w:val="6E6158"/>
        </w:rPr>
        <w:t>company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general</w:t>
      </w:r>
      <w:r>
        <w:rPr>
          <w:color w:val="6E6158"/>
          <w:spacing w:val="14"/>
        </w:rPr>
        <w:t> </w:t>
      </w:r>
      <w:r>
        <w:rPr>
          <w:color w:val="6E6158"/>
        </w:rPr>
        <w:t>corporate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contract</w:t>
      </w:r>
      <w:r>
        <w:rPr>
          <w:color w:val="6E6158"/>
          <w:spacing w:val="14"/>
        </w:rPr>
        <w:t> </w:t>
      </w:r>
      <w:r>
        <w:rPr>
          <w:color w:val="6E6158"/>
        </w:rPr>
        <w:t>negotiation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matters.</w:t>
      </w:r>
    </w:p>
    <w:p>
      <w:pPr>
        <w:pStyle w:val="BodyText"/>
        <w:spacing w:line="292" w:lineRule="auto" w:before="174"/>
        <w:ind w:right="408"/>
      </w:pPr>
      <w:r>
        <w:rPr>
          <w:color w:val="6E6158"/>
        </w:rPr>
        <w:t>Represented numerous clients in the formation and funding of new entities, as well as drafting</w:t>
      </w:r>
      <w:r>
        <w:rPr>
          <w:color w:val="6E6158"/>
          <w:spacing w:val="40"/>
        </w:rPr>
        <w:t> </w:t>
      </w:r>
      <w:r>
        <w:rPr>
          <w:color w:val="6E6158"/>
        </w:rPr>
        <w:t>their governance documents.</w:t>
      </w:r>
    </w:p>
    <w:p>
      <w:pPr>
        <w:pStyle w:val="BodyText"/>
        <w:spacing w:before="131"/>
      </w:pPr>
      <w:r>
        <w:rPr>
          <w:color w:val="6E6158"/>
        </w:rPr>
        <w:t>Represented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venture</w:t>
      </w:r>
      <w:r>
        <w:rPr>
          <w:color w:val="6E6158"/>
          <w:spacing w:val="13"/>
        </w:rPr>
        <w:t> </w:t>
      </w:r>
      <w:r>
        <w:rPr>
          <w:color w:val="6E6158"/>
        </w:rPr>
        <w:t>capital</w:t>
      </w:r>
      <w:r>
        <w:rPr>
          <w:color w:val="6E6158"/>
          <w:spacing w:val="13"/>
        </w:rPr>
        <w:t> </w:t>
      </w:r>
      <w:r>
        <w:rPr>
          <w:color w:val="6E6158"/>
        </w:rPr>
        <w:t>firm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various</w:t>
      </w:r>
      <w:r>
        <w:rPr>
          <w:color w:val="6E6158"/>
          <w:spacing w:val="13"/>
        </w:rPr>
        <w:t> </w:t>
      </w:r>
      <w:r>
        <w:rPr>
          <w:color w:val="6E6158"/>
        </w:rPr>
        <w:t>convertible</w:t>
      </w:r>
      <w:r>
        <w:rPr>
          <w:color w:val="6E6158"/>
          <w:spacing w:val="13"/>
        </w:rPr>
        <w:t> </w:t>
      </w:r>
      <w:r>
        <w:rPr>
          <w:color w:val="6E6158"/>
        </w:rPr>
        <w:t>debt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investments.</w:t>
      </w:r>
    </w:p>
    <w:p>
      <w:pPr>
        <w:pStyle w:val="BodyText"/>
        <w:spacing w:line="292" w:lineRule="auto" w:before="174"/>
        <w:ind w:right="408"/>
      </w:pPr>
      <w:r>
        <w:rPr>
          <w:color w:val="6E6158"/>
        </w:rPr>
        <w:t>Represented a private equity fund in the acquisition and sale of operating companies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related real estate.</w:t>
      </w:r>
    </w:p>
    <w:p>
      <w:pPr>
        <w:pStyle w:val="BodyText"/>
        <w:spacing w:line="302" w:lineRule="auto" w:before="124"/>
      </w:pPr>
      <w:r>
        <w:rPr>
          <w:color w:val="6E6158"/>
        </w:rPr>
        <w:t>Represented a private foundation regarding the tax implications of certain investments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operations.</w:t>
      </w:r>
    </w:p>
    <w:p>
      <w:pPr>
        <w:pStyle w:val="BodyText"/>
        <w:spacing w:line="292" w:lineRule="auto" w:before="112"/>
        <w:ind w:right="243"/>
      </w:pPr>
      <w:r>
        <w:rPr>
          <w:color w:val="6E6158"/>
        </w:rPr>
        <w:t>Represented a commercial development company in an asset purchase with a </w:t>
      </w:r>
      <w:r>
        <w:rPr>
          <w:color w:val="6E6158"/>
        </w:rPr>
        <w:t>national </w:t>
      </w:r>
      <w:r>
        <w:rPr>
          <w:color w:val="6E6158"/>
          <w:spacing w:val="-2"/>
        </w:rPr>
        <w:t>competitor.</w:t>
      </w:r>
    </w:p>
    <w:p>
      <w:pPr>
        <w:pStyle w:val="BodyText"/>
        <w:spacing w:line="292" w:lineRule="auto" w:before="132"/>
      </w:pPr>
      <w:r>
        <w:rPr>
          <w:color w:val="6E6158"/>
        </w:rPr>
        <w:t>Represented a medical supply and pharmaceutical company in a merger transaction with </w:t>
      </w:r>
      <w:r>
        <w:rPr>
          <w:color w:val="6E6158"/>
        </w:rPr>
        <w:t>an</w:t>
      </w:r>
      <w:r>
        <w:rPr>
          <w:color w:val="6E6158"/>
          <w:spacing w:val="40"/>
        </w:rPr>
        <w:t> </w:t>
      </w:r>
      <w:r>
        <w:rPr>
          <w:color w:val="6E6158"/>
        </w:rPr>
        <w:t>international buyer.</w:t>
      </w:r>
    </w:p>
    <w:p>
      <w:pPr>
        <w:pStyle w:val="BodyText"/>
        <w:spacing w:line="292" w:lineRule="auto" w:before="123"/>
        <w:ind w:right="271"/>
      </w:pPr>
      <w:r>
        <w:rPr>
          <w:color w:val="6E6158"/>
        </w:rPr>
        <w:t>Represented a medical services company in connection with its purchase by an </w:t>
      </w:r>
      <w:r>
        <w:rPr>
          <w:color w:val="6E6158"/>
        </w:rPr>
        <w:t>international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buyer.</w:t>
      </w:r>
    </w:p>
    <w:p>
      <w:pPr>
        <w:pStyle w:val="BodyText"/>
        <w:spacing w:before="131"/>
      </w:pPr>
      <w:r>
        <w:rPr>
          <w:color w:val="6E6158"/>
        </w:rPr>
        <w:t>Represented</w:t>
      </w:r>
      <w:r>
        <w:rPr>
          <w:color w:val="6E6158"/>
          <w:spacing w:val="12"/>
        </w:rPr>
        <w:t> </w:t>
      </w:r>
      <w:r>
        <w:rPr>
          <w:color w:val="6E6158"/>
        </w:rPr>
        <w:t>medical</w:t>
      </w:r>
      <w:r>
        <w:rPr>
          <w:color w:val="6E6158"/>
          <w:spacing w:val="12"/>
        </w:rPr>
        <w:t> </w:t>
      </w:r>
      <w:r>
        <w:rPr>
          <w:color w:val="6E6158"/>
        </w:rPr>
        <w:t>professionals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structure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sale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their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operations.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8"/>
        <w:ind w:left="0"/>
        <w:rPr>
          <w:b/>
        </w:rPr>
      </w:pPr>
    </w:p>
    <w:p>
      <w:pPr>
        <w:spacing w:line="398" w:lineRule="auto" w:before="0"/>
        <w:ind w:left="99" w:right="3149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America®</w:t>
      </w:r>
      <w:r>
        <w:rPr>
          <w:color w:val="6E6158"/>
          <w:sz w:val="19"/>
        </w:rPr>
        <w:t>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Corporate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Tax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2022-</w:t>
      </w:r>
      <w:r>
        <w:rPr>
          <w:color w:val="6E6158"/>
          <w:sz w:val="19"/>
        </w:rPr>
        <w:t>2027 Top Lawyer – Tax Law, </w:t>
      </w:r>
      <w:r>
        <w:rPr>
          <w:i/>
          <w:color w:val="6E6158"/>
          <w:sz w:val="20"/>
        </w:rPr>
        <w:t>Phoenix Magazine</w:t>
      </w:r>
      <w:r>
        <w:rPr>
          <w:color w:val="6E6158"/>
          <w:sz w:val="19"/>
        </w:rPr>
        <w:t>, 2026</w:t>
      </w:r>
    </w:p>
    <w:p>
      <w:pPr>
        <w:spacing w:before="11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Rising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Stars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4"/>
          <w:sz w:val="20"/>
        </w:rPr>
        <w:t> </w:t>
      </w:r>
      <w:r>
        <w:rPr>
          <w:color w:val="6E6158"/>
          <w:sz w:val="19"/>
        </w:rPr>
        <w:t>Business/Corporate,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2016-</w:t>
      </w:r>
      <w:r>
        <w:rPr>
          <w:color w:val="6E6158"/>
          <w:spacing w:val="-4"/>
          <w:sz w:val="19"/>
        </w:rPr>
        <w:t>2021</w:t>
      </w:r>
    </w:p>
    <w:p>
      <w:pPr>
        <w:pStyle w:val="BodyText"/>
        <w:spacing w:before="160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408"/>
      </w:pPr>
      <w:hyperlink r:id="rId11">
        <w:r>
          <w:rPr>
            <w:color w:val="F5821F"/>
          </w:rPr>
          <w:t>Interview, “If you dread going into work at the start of each week, get a different job,”</w:t>
        </w:r>
      </w:hyperlink>
      <w:r>
        <w:rPr>
          <w:color w:val="F5821F"/>
        </w:rPr>
        <w:t> </w:t>
      </w:r>
      <w:hyperlink r:id="rId11">
        <w:r>
          <w:rPr>
            <w:color w:val="F5821F"/>
          </w:rPr>
          <w:t>Fennemore Blog, December 2, 2021</w:t>
        </w:r>
      </w:hyperlink>
    </w:p>
    <w:p>
      <w:pPr>
        <w:pStyle w:val="BodyText"/>
        <w:spacing w:line="302" w:lineRule="auto" w:before="123"/>
      </w:pPr>
      <w:hyperlink r:id="rId12">
        <w:r>
          <w:rPr>
            <w:color w:val="FF8100"/>
          </w:rPr>
          <w:t>Co-author, “Understanding the Emergency Family Medical Leave Expansion Act and </w:t>
        </w:r>
        <w:r>
          <w:rPr>
            <w:color w:val="FF8100"/>
          </w:rPr>
          <w:t>Emergency</w:t>
        </w:r>
      </w:hyperlink>
      <w:r>
        <w:rPr>
          <w:color w:val="FF8100"/>
        </w:rPr>
        <w:t> </w:t>
      </w:r>
      <w:hyperlink r:id="rId12">
        <w:r>
          <w:rPr>
            <w:color w:val="FF8100"/>
          </w:rPr>
          <w:t>Paid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Sick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Leave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in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the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Families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First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Coronavirus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Response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Act,”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Client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Alert,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March</w:t>
        </w:r>
      </w:hyperlink>
    </w:p>
    <w:p>
      <w:pPr>
        <w:pStyle w:val="BodyText"/>
        <w:spacing w:line="224" w:lineRule="exact"/>
      </w:pPr>
      <w:hyperlink r:id="rId12">
        <w:r>
          <w:rPr>
            <w:color w:val="FF8100"/>
          </w:rPr>
          <w:t>20,</w:t>
        </w:r>
        <w:r>
          <w:rPr>
            <w:color w:val="FF8100"/>
            <w:spacing w:val="6"/>
          </w:rPr>
          <w:t> </w:t>
        </w:r>
        <w:r>
          <w:rPr>
            <w:color w:val="FF8100"/>
            <w:spacing w:val="-4"/>
          </w:rPr>
          <w:t>2020</w:t>
        </w:r>
      </w:hyperlink>
    </w:p>
    <w:p>
      <w:pPr>
        <w:pStyle w:val="BodyText"/>
        <w:spacing w:before="164"/>
      </w:pPr>
      <w:r>
        <w:rPr>
          <w:color w:val="6E6158"/>
        </w:rPr>
        <w:t>Co-author,</w:t>
      </w:r>
      <w:r>
        <w:rPr>
          <w:color w:val="6E6158"/>
          <w:spacing w:val="5"/>
        </w:rPr>
        <w:t> </w:t>
      </w:r>
      <w:r>
        <w:rPr>
          <w:color w:val="6E6158"/>
        </w:rPr>
        <w:t>“What</w:t>
      </w:r>
      <w:r>
        <w:rPr>
          <w:color w:val="6E6158"/>
          <w:spacing w:val="5"/>
        </w:rPr>
        <w:t> </w:t>
      </w:r>
      <w:r>
        <w:rPr>
          <w:color w:val="6E6158"/>
        </w:rPr>
        <w:t>You</w:t>
      </w:r>
      <w:r>
        <w:rPr>
          <w:color w:val="6E6158"/>
          <w:spacing w:val="6"/>
        </w:rPr>
        <w:t> </w:t>
      </w:r>
      <w:r>
        <w:rPr>
          <w:color w:val="6E6158"/>
        </w:rPr>
        <w:t>Need</w:t>
      </w:r>
      <w:r>
        <w:rPr>
          <w:color w:val="6E6158"/>
          <w:spacing w:val="5"/>
        </w:rPr>
        <w:t> </w:t>
      </w:r>
      <w:r>
        <w:rPr>
          <w:color w:val="6E6158"/>
        </w:rPr>
        <w:t>to</w:t>
      </w:r>
      <w:r>
        <w:rPr>
          <w:color w:val="6E6158"/>
          <w:spacing w:val="5"/>
        </w:rPr>
        <w:t> </w:t>
      </w:r>
      <w:r>
        <w:rPr>
          <w:color w:val="6E6158"/>
        </w:rPr>
        <w:t>Know</w:t>
      </w:r>
      <w:r>
        <w:rPr>
          <w:color w:val="6E6158"/>
          <w:spacing w:val="6"/>
        </w:rPr>
        <w:t> </w:t>
      </w:r>
      <w:r>
        <w:rPr>
          <w:color w:val="6E6158"/>
        </w:rPr>
        <w:t>About</w:t>
      </w:r>
      <w:r>
        <w:rPr>
          <w:color w:val="6E6158"/>
          <w:spacing w:val="5"/>
        </w:rPr>
        <w:t> </w:t>
      </w:r>
      <w:r>
        <w:rPr>
          <w:color w:val="6E6158"/>
        </w:rPr>
        <w:t>Opportunity</w:t>
      </w:r>
      <w:r>
        <w:rPr>
          <w:color w:val="6E6158"/>
          <w:spacing w:val="5"/>
        </w:rPr>
        <w:t> </w:t>
      </w:r>
      <w:r>
        <w:rPr>
          <w:color w:val="6E6158"/>
        </w:rPr>
        <w:t>Zone</w:t>
      </w:r>
      <w:r>
        <w:rPr>
          <w:color w:val="6E6158"/>
          <w:spacing w:val="6"/>
        </w:rPr>
        <w:t> </w:t>
      </w:r>
      <w:r>
        <w:rPr>
          <w:color w:val="6E6158"/>
        </w:rPr>
        <w:t>Funds,”</w:t>
      </w:r>
      <w:r>
        <w:rPr>
          <w:color w:val="6E6158"/>
          <w:spacing w:val="5"/>
        </w:rPr>
        <w:t> </w:t>
      </w:r>
      <w:r>
        <w:rPr>
          <w:i/>
          <w:color w:val="6E6158"/>
          <w:sz w:val="20"/>
        </w:rPr>
        <w:t>Daily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z w:val="20"/>
        </w:rPr>
        <w:t>Press,</w:t>
      </w:r>
      <w:r>
        <w:rPr>
          <w:i/>
          <w:color w:val="6E6158"/>
          <w:spacing w:val="3"/>
          <w:sz w:val="20"/>
        </w:rPr>
        <w:t> </w:t>
      </w:r>
      <w:r>
        <w:rPr>
          <w:color w:val="6E6158"/>
        </w:rPr>
        <w:t>May</w:t>
      </w:r>
      <w:r>
        <w:rPr>
          <w:color w:val="6E6158"/>
          <w:spacing w:val="5"/>
        </w:rPr>
        <w:t> </w:t>
      </w:r>
      <w:r>
        <w:rPr>
          <w:color w:val="6E6158"/>
        </w:rPr>
        <w:t>5,</w:t>
      </w:r>
      <w:r>
        <w:rPr>
          <w:color w:val="6E6158"/>
          <w:spacing w:val="5"/>
        </w:rPr>
        <w:t> </w:t>
      </w:r>
      <w:r>
        <w:rPr>
          <w:color w:val="6E6158"/>
          <w:spacing w:val="-4"/>
        </w:rPr>
        <w:t>2019</w:t>
      </w:r>
    </w:p>
    <w:p>
      <w:pPr>
        <w:pStyle w:val="BodyText"/>
        <w:spacing w:line="302" w:lineRule="auto" w:before="172"/>
        <w:ind w:right="243"/>
      </w:pPr>
      <w:hyperlink r:id="rId13">
        <w:r>
          <w:rPr>
            <w:color w:val="FF8100"/>
          </w:rPr>
          <w:t>Co-author, “What You Need to Know About Opportunity Zone Funds,” Fennemore Client Alert,</w:t>
        </w:r>
      </w:hyperlink>
      <w:r>
        <w:rPr>
          <w:color w:val="FF8100"/>
        </w:rPr>
        <w:t> </w:t>
      </w:r>
      <w:hyperlink r:id="rId13">
        <w:r>
          <w:rPr>
            <w:color w:val="FF8100"/>
          </w:rPr>
          <w:t>April 30, 2019</w:t>
        </w:r>
      </w:hyperlink>
    </w:p>
    <w:p>
      <w:pPr>
        <w:pStyle w:val="BodyText"/>
        <w:spacing w:line="288" w:lineRule="auto" w:before="103"/>
        <w:ind w:right="243"/>
      </w:pPr>
      <w:hyperlink r:id="rId14">
        <w:r>
          <w:rPr>
            <w:color w:val="FF8100"/>
          </w:rPr>
          <w:t>Co-author, “What You Need to Know About Opportunity Zone Funds,”</w:t>
        </w:r>
      </w:hyperlink>
      <w:r>
        <w:rPr>
          <w:color w:val="FF8100"/>
        </w:rPr>
        <w:t> </w:t>
      </w:r>
      <w:hyperlink r:id="rId14">
        <w:r>
          <w:rPr>
            <w:i/>
            <w:color w:val="FF8100"/>
            <w:sz w:val="20"/>
          </w:rPr>
          <w:t>Inside Sources</w:t>
        </w:r>
      </w:hyperlink>
      <w:hyperlink r:id="rId14">
        <w:r>
          <w:rPr>
            <w:color w:val="FF8100"/>
          </w:rPr>
          <w:t>, April 29,</w:t>
        </w:r>
      </w:hyperlink>
      <w:r>
        <w:rPr>
          <w:color w:val="FF8100"/>
        </w:rPr>
        <w:t> </w:t>
      </w:r>
      <w:hyperlink r:id="rId14">
        <w:r>
          <w:rPr>
            <w:color w:val="FF8100"/>
            <w:spacing w:val="-4"/>
          </w:rPr>
          <w:t>2019</w:t>
        </w:r>
      </w:hyperlink>
    </w:p>
    <w:p>
      <w:pPr>
        <w:spacing w:line="278" w:lineRule="auto" w:before="126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Co-author, “End-of-year Business Advice for Northern Nevada Businesses (Opinion),” </w:t>
      </w:r>
      <w:r>
        <w:rPr>
          <w:i/>
          <w:color w:val="6E6158"/>
          <w:sz w:val="20"/>
        </w:rPr>
        <w:t>Northern</w:t>
      </w:r>
      <w:r>
        <w:rPr>
          <w:i/>
          <w:color w:val="6E6158"/>
          <w:sz w:val="20"/>
        </w:rPr>
        <w:t> Nevada Business View, </w:t>
      </w:r>
      <w:r>
        <w:rPr>
          <w:color w:val="6E6158"/>
          <w:sz w:val="19"/>
        </w:rPr>
        <w:t>December 11, 2018</w:t>
      </w:r>
    </w:p>
    <w:p>
      <w:pPr>
        <w:spacing w:after="0" w:line="278" w:lineRule="auto"/>
        <w:jc w:val="left"/>
        <w:rPr>
          <w:sz w:val="19"/>
        </w:rPr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408"/>
      </w:pPr>
      <w:hyperlink r:id="rId15">
        <w:r>
          <w:rPr>
            <w:color w:val="FF8100"/>
          </w:rPr>
          <w:t>Co-author, “IRS Proposes Eliminating Charitable Deduction for Donations to State Tuition </w:t>
        </w:r>
        <w:r>
          <w:rPr>
            <w:color w:val="FF8100"/>
          </w:rPr>
          <w:t>Tax</w:t>
        </w:r>
      </w:hyperlink>
      <w:r>
        <w:rPr>
          <w:color w:val="FF8100"/>
        </w:rPr>
        <w:t> </w:t>
      </w:r>
      <w:hyperlink r:id="rId15">
        <w:r>
          <w:rPr>
            <w:color w:val="FF8100"/>
          </w:rPr>
          <w:t>Credit Programs,” Fennemore Client Alert, August 24, 2018</w:t>
        </w:r>
      </w:hyperlink>
    </w:p>
    <w:p>
      <w:pPr>
        <w:pStyle w:val="BodyText"/>
        <w:spacing w:line="292" w:lineRule="auto" w:before="132"/>
        <w:ind w:right="408"/>
      </w:pPr>
      <w:hyperlink r:id="rId16">
        <w:r>
          <w:rPr>
            <w:color w:val="FF8100"/>
          </w:rPr>
          <w:t>Co-author, “Qualified Opportunity Zones: A New Program Allowing Taxpayers to Defer or</w:t>
        </w:r>
      </w:hyperlink>
      <w:r>
        <w:rPr>
          <w:color w:val="FF8100"/>
        </w:rPr>
        <w:t> </w:t>
      </w:r>
      <w:hyperlink r:id="rId16">
        <w:r>
          <w:rPr>
            <w:color w:val="FF8100"/>
          </w:rPr>
          <w:t>Eliminate Capital Gains When Investing in Economically Disadvantaged Areas,” </w:t>
        </w:r>
        <w:r>
          <w:rPr>
            <w:color w:val="FF8100"/>
          </w:rPr>
          <w:t>Fennemore</w:t>
        </w:r>
      </w:hyperlink>
      <w:r>
        <w:rPr>
          <w:color w:val="FF8100"/>
          <w:spacing w:val="40"/>
        </w:rPr>
        <w:t> </w:t>
      </w:r>
      <w:hyperlink r:id="rId16">
        <w:r>
          <w:rPr>
            <w:color w:val="FF8100"/>
          </w:rPr>
          <w:t>Client Alert, April 17, 2018</w:t>
        </w:r>
      </w:hyperlink>
    </w:p>
    <w:p>
      <w:pPr>
        <w:pStyle w:val="BodyText"/>
        <w:spacing w:line="302" w:lineRule="auto" w:before="124"/>
        <w:ind w:right="271"/>
      </w:pPr>
      <w:r>
        <w:rPr>
          <w:color w:val="6E6158"/>
        </w:rPr>
        <w:t>Speaker, “Arizona’s New LLC Act: Promoting Certainty and Protecting Freedom of Contract: Part</w:t>
      </w:r>
      <w:r>
        <w:rPr>
          <w:color w:val="6E6158"/>
          <w:spacing w:val="40"/>
        </w:rPr>
        <w:t> </w:t>
      </w:r>
      <w:r>
        <w:rPr>
          <w:color w:val="6E6158"/>
        </w:rPr>
        <w:t>1,” State Bar of Arizona 2018 Annual Convention, June 27, 2018</w:t>
      </w:r>
    </w:p>
    <w:p>
      <w:pPr>
        <w:pStyle w:val="BodyText"/>
        <w:spacing w:before="112"/>
      </w:pPr>
      <w:r>
        <w:rPr>
          <w:color w:val="6E6158"/>
        </w:rPr>
        <w:t>Speaker,</w:t>
      </w:r>
      <w:r>
        <w:rPr>
          <w:color w:val="6E6158"/>
          <w:spacing w:val="6"/>
        </w:rPr>
        <w:t> </w:t>
      </w:r>
      <w:r>
        <w:rPr>
          <w:color w:val="6E6158"/>
        </w:rPr>
        <w:t>“Phoenix</w:t>
      </w:r>
      <w:r>
        <w:rPr>
          <w:color w:val="6E6158"/>
          <w:spacing w:val="7"/>
        </w:rPr>
        <w:t> </w:t>
      </w:r>
      <w:r>
        <w:rPr>
          <w:color w:val="6E6158"/>
        </w:rPr>
        <w:t>Tax</w:t>
      </w:r>
      <w:r>
        <w:rPr>
          <w:color w:val="6E6158"/>
          <w:spacing w:val="7"/>
        </w:rPr>
        <w:t> </w:t>
      </w:r>
      <w:r>
        <w:rPr>
          <w:color w:val="6E6158"/>
        </w:rPr>
        <w:t>Workshop,”</w:t>
      </w:r>
      <w:r>
        <w:rPr>
          <w:color w:val="6E6158"/>
          <w:spacing w:val="7"/>
        </w:rPr>
        <w:t> </w:t>
      </w:r>
      <w:r>
        <w:rPr>
          <w:color w:val="6E6158"/>
        </w:rPr>
        <w:t>Arizona</w:t>
      </w:r>
      <w:r>
        <w:rPr>
          <w:color w:val="6E6158"/>
          <w:spacing w:val="7"/>
        </w:rPr>
        <w:t> </w:t>
      </w:r>
      <w:r>
        <w:rPr>
          <w:color w:val="6E6158"/>
        </w:rPr>
        <w:t>Society</w:t>
      </w:r>
      <w:r>
        <w:rPr>
          <w:color w:val="6E6158"/>
          <w:spacing w:val="7"/>
        </w:rPr>
        <w:t> </w:t>
      </w:r>
      <w:r>
        <w:rPr>
          <w:color w:val="6E6158"/>
        </w:rPr>
        <w:t>of</w:t>
      </w:r>
      <w:r>
        <w:rPr>
          <w:color w:val="6E6158"/>
          <w:spacing w:val="7"/>
        </w:rPr>
        <w:t> </w:t>
      </w:r>
      <w:r>
        <w:rPr>
          <w:color w:val="6E6158"/>
        </w:rPr>
        <w:t>CPAs,</w:t>
      </w:r>
      <w:r>
        <w:rPr>
          <w:color w:val="6E6158"/>
          <w:spacing w:val="7"/>
        </w:rPr>
        <w:t> </w:t>
      </w:r>
      <w:r>
        <w:rPr>
          <w:color w:val="6E6158"/>
        </w:rPr>
        <w:t>June</w:t>
      </w:r>
      <w:r>
        <w:rPr>
          <w:color w:val="6E6158"/>
          <w:spacing w:val="7"/>
        </w:rPr>
        <w:t> </w:t>
      </w:r>
      <w:r>
        <w:rPr>
          <w:color w:val="6E6158"/>
        </w:rPr>
        <w:t>16,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Company</w:t>
      </w:r>
      <w:r>
        <w:rPr>
          <w:color w:val="6E6158"/>
          <w:spacing w:val="7"/>
        </w:rPr>
        <w:t> </w:t>
      </w:r>
      <w:r>
        <w:rPr>
          <w:color w:val="6E6158"/>
        </w:rPr>
        <w:t>Mentor,</w:t>
      </w:r>
      <w:r>
        <w:rPr>
          <w:color w:val="6E6158"/>
          <w:spacing w:val="8"/>
        </w:rPr>
        <w:t> </w:t>
      </w:r>
      <w:r>
        <w:rPr>
          <w:color w:val="6E6158"/>
        </w:rPr>
        <w:t>Invest</w:t>
      </w:r>
      <w:r>
        <w:rPr>
          <w:color w:val="6E6158"/>
          <w:spacing w:val="8"/>
        </w:rPr>
        <w:t> </w:t>
      </w:r>
      <w:r>
        <w:rPr>
          <w:color w:val="6E6158"/>
        </w:rPr>
        <w:t>Southwest</w:t>
      </w:r>
      <w:r>
        <w:rPr>
          <w:color w:val="6E6158"/>
          <w:spacing w:val="8"/>
        </w:rPr>
        <w:t> </w:t>
      </w:r>
      <w:r>
        <w:rPr>
          <w:color w:val="6E6158"/>
        </w:rPr>
        <w:t>Venture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Madness</w:t>
      </w:r>
    </w:p>
    <w:p>
      <w:pPr>
        <w:pStyle w:val="BodyText"/>
        <w:spacing w:line="302" w:lineRule="auto" w:before="174"/>
        <w:ind w:right="243"/>
      </w:pPr>
      <w:r>
        <w:rPr>
          <w:color w:val="6E6158"/>
        </w:rPr>
        <w:t>Member, State Bar of Arizona Revised Uniform Limited Liability Company Act </w:t>
      </w:r>
      <w:r>
        <w:rPr>
          <w:color w:val="6E6158"/>
        </w:rPr>
        <w:t>Legislative </w:t>
      </w:r>
      <w:r>
        <w:rPr>
          <w:color w:val="6E6158"/>
          <w:spacing w:val="-2"/>
        </w:rPr>
        <w:t>Committee</w:t>
      </w:r>
    </w:p>
    <w:p>
      <w:pPr>
        <w:pStyle w:val="BodyText"/>
        <w:spacing w:line="422" w:lineRule="auto" w:before="113"/>
        <w:ind w:right="5717"/>
      </w:pPr>
      <w:r>
        <w:rPr>
          <w:color w:val="6E6158"/>
        </w:rPr>
        <w:t>Member, State Bar of Arizona Treasurer, Painted Rock </w:t>
      </w:r>
      <w:r>
        <w:rPr>
          <w:color w:val="6E6158"/>
        </w:rPr>
        <w:t>Academy Treasurer, Reid Traditional Schools</w:t>
      </w:r>
    </w:p>
    <w:p>
      <w:pPr>
        <w:pStyle w:val="BodyText"/>
        <w:spacing w:line="232" w:lineRule="exact"/>
      </w:pPr>
      <w:r>
        <w:rPr>
          <w:color w:val="6E6158"/>
        </w:rPr>
        <w:t>Former</w:t>
      </w:r>
      <w:r>
        <w:rPr>
          <w:color w:val="6E6158"/>
          <w:spacing w:val="10"/>
        </w:rPr>
        <w:t> </w:t>
      </w:r>
      <w:r>
        <w:rPr>
          <w:color w:val="6E6158"/>
        </w:rPr>
        <w:t>Treasurer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Board</w:t>
      </w:r>
      <w:r>
        <w:rPr>
          <w:color w:val="6E6158"/>
          <w:spacing w:val="10"/>
        </w:rPr>
        <w:t> </w:t>
      </w:r>
      <w:r>
        <w:rPr>
          <w:color w:val="6E6158"/>
        </w:rPr>
        <w:t>Member,</w:t>
      </w:r>
      <w:r>
        <w:rPr>
          <w:color w:val="6E6158"/>
          <w:spacing w:val="10"/>
        </w:rPr>
        <w:t> </w:t>
      </w:r>
      <w:r>
        <w:rPr>
          <w:color w:val="6E6158"/>
        </w:rPr>
        <w:t>Prevent</w:t>
      </w:r>
      <w:r>
        <w:rPr>
          <w:color w:val="6E6158"/>
          <w:spacing w:val="10"/>
        </w:rPr>
        <w:t> </w:t>
      </w:r>
      <w:r>
        <w:rPr>
          <w:color w:val="6E6158"/>
        </w:rPr>
        <w:t>Child</w:t>
      </w:r>
      <w:r>
        <w:rPr>
          <w:color w:val="6E6158"/>
          <w:spacing w:val="10"/>
        </w:rPr>
        <w:t> </w:t>
      </w:r>
      <w:r>
        <w:rPr>
          <w:color w:val="6E6158"/>
        </w:rPr>
        <w:t>Abuse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Arizona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sefird@fennemorelaw.com" TargetMode="External"/><Relationship Id="rId11" Type="http://schemas.openxmlformats.org/officeDocument/2006/relationships/hyperlink" Target="https://www.fennemorelaw.com/if-you-dread-going-into-work-at-the-start-of-each-week-get-a-different-job/" TargetMode="External"/><Relationship Id="rId12" Type="http://schemas.openxmlformats.org/officeDocument/2006/relationships/hyperlink" Target="https://www.fennemorelaw.com/insights/newsletters/2020/understanding-the-emergency-family-medical-leave-expansion-act-and-emergency-paid-sick-leave-in-the-families-first-coronavirus-response-act" TargetMode="External"/><Relationship Id="rId13" Type="http://schemas.openxmlformats.org/officeDocument/2006/relationships/hyperlink" Target="https://clientalert.fennemorecraig.com/opportunity_zones" TargetMode="External"/><Relationship Id="rId14" Type="http://schemas.openxmlformats.org/officeDocument/2006/relationships/hyperlink" Target="https://www.insidesources.com/what-you-need-to-know-about-opportunity-zone-funds/" TargetMode="External"/><Relationship Id="rId15" Type="http://schemas.openxmlformats.org/officeDocument/2006/relationships/hyperlink" Target="https://www.fennemorelaw.com/insights/newsletters/2018/irs-proposes-eliminating-charitable-deduction-for-donations-to-state-tuition-tax-credit-programs" TargetMode="External"/><Relationship Id="rId16" Type="http://schemas.openxmlformats.org/officeDocument/2006/relationships/hyperlink" Target="https://www.fennemorelaw.com/insights/newsletters/2018/qualified-opportunity-zones-a-new-program-allowing-taxpayers-to-defer-or-eliminate-capital-gains-when-investing-in-economically-disadvantaged-areas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Samuel S. Efird - Fennemore</dc:title>
  <dcterms:created xsi:type="dcterms:W3CDTF">2026-08-27T15:20:27Z</dcterms:created>
  <dcterms:modified xsi:type="dcterms:W3CDTF">2026-08-27T15:20:27Z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2026-08-27T00:00:00Z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2026-08-27T00:00:00Z</vt:filetime>
  </property>
  <property fmtid="{D5CDD505-2E9C-101B-9397-08002B2CF9AE}" pid="6" name="Producer">
    <vt:lpwstr>Skia/PDF m151</vt:lpwstr>
  </property>
</Properties>
</file>