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ean Sab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SEAN M.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SABO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602.916.5438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602.916.5638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ssabo@fennemorelaw.com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Sean Sab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SEAN M.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SABO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602.916.5438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602.916.5638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ssabo@fennemorelaw.com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SEAN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M.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pacing w:val="-4"/>
          <w:sz w:val="24"/>
        </w:rPr>
        <w:t>SABO</w:t>
      </w:r>
    </w:p>
    <w:p>
      <w:pPr>
        <w:pStyle w:val="BodyText"/>
        <w:spacing w:before="147"/>
      </w:pPr>
      <w:r>
        <w:rPr>
          <w:color w:val="6E6158"/>
        </w:rPr>
        <w:t>Sean</w:t>
      </w:r>
      <w:r>
        <w:rPr>
          <w:color w:val="6E6158"/>
          <w:spacing w:val="9"/>
        </w:rPr>
        <w:t> </w:t>
      </w:r>
      <w:r>
        <w:rPr>
          <w:color w:val="6E6158"/>
        </w:rPr>
        <w:t>practices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areas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</w:rPr>
        <w:t>estate</w:t>
      </w:r>
      <w:r>
        <w:rPr>
          <w:color w:val="6E6158"/>
          <w:spacing w:val="9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finance.</w:t>
      </w:r>
    </w:p>
    <w:p>
      <w:pPr>
        <w:pStyle w:val="BodyText"/>
        <w:spacing w:before="22"/>
        <w:ind w:left="0"/>
      </w:pPr>
    </w:p>
    <w:p>
      <w:pPr>
        <w:pStyle w:val="BodyText"/>
      </w:pPr>
      <w:r>
        <w:rPr>
          <w:color w:val="6E6158"/>
        </w:rPr>
        <w:t>He</w:t>
      </w:r>
      <w:r>
        <w:rPr>
          <w:color w:val="6E6158"/>
          <w:spacing w:val="12"/>
        </w:rPr>
        <w:t> </w:t>
      </w:r>
      <w:r>
        <w:rPr>
          <w:color w:val="6E6158"/>
        </w:rPr>
        <w:t>represents</w:t>
      </w:r>
      <w:r>
        <w:rPr>
          <w:color w:val="6E6158"/>
          <w:spacing w:val="12"/>
        </w:rPr>
        <w:t> </w:t>
      </w:r>
      <w:r>
        <w:rPr>
          <w:color w:val="6E6158"/>
        </w:rPr>
        <w:t>developers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homebuilders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all</w:t>
      </w:r>
      <w:r>
        <w:rPr>
          <w:color w:val="6E6158"/>
          <w:spacing w:val="13"/>
        </w:rPr>
        <w:t> </w:t>
      </w:r>
      <w:r>
        <w:rPr>
          <w:color w:val="6E6158"/>
        </w:rPr>
        <w:t>aspects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estate,</w:t>
      </w:r>
      <w:r>
        <w:rPr>
          <w:color w:val="6E6158"/>
          <w:spacing w:val="12"/>
        </w:rPr>
        <w:t> </w:t>
      </w:r>
      <w:r>
        <w:rPr>
          <w:color w:val="6E6158"/>
        </w:rPr>
        <w:t>including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acquisition,</w:t>
      </w:r>
    </w:p>
    <w:p>
      <w:pPr>
        <w:pStyle w:val="BodyText"/>
        <w:spacing w:line="292" w:lineRule="auto" w:before="52"/>
        <w:ind w:right="631"/>
      </w:pPr>
      <w:r>
        <w:rPr>
          <w:color w:val="6E6158"/>
        </w:rPr>
        <w:t>development, financing and sale. Sean also represents lenders and borrowers in the </w:t>
      </w:r>
      <w:r>
        <w:rPr>
          <w:color w:val="6E6158"/>
        </w:rPr>
        <w:t>negotiation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documentation</w:t>
      </w:r>
      <w:r>
        <w:rPr>
          <w:color w:val="6E6158"/>
          <w:spacing w:val="35"/>
        </w:rPr>
        <w:t> </w:t>
      </w:r>
      <w:r>
        <w:rPr>
          <w:color w:val="6E6158"/>
        </w:rPr>
        <w:t>of</w:t>
      </w:r>
      <w:r>
        <w:rPr>
          <w:color w:val="6E6158"/>
          <w:spacing w:val="35"/>
        </w:rPr>
        <w:t> </w:t>
      </w:r>
      <w:r>
        <w:rPr>
          <w:color w:val="6E6158"/>
        </w:rPr>
        <w:t>commercial</w:t>
      </w:r>
      <w:r>
        <w:rPr>
          <w:color w:val="6E6158"/>
          <w:spacing w:val="35"/>
        </w:rPr>
        <w:t> </w:t>
      </w:r>
      <w:r>
        <w:rPr>
          <w:color w:val="6E6158"/>
        </w:rPr>
        <w:t>loans</w:t>
      </w:r>
      <w:r>
        <w:rPr>
          <w:color w:val="6E6158"/>
          <w:spacing w:val="35"/>
        </w:rPr>
        <w:t> </w:t>
      </w:r>
      <w:r>
        <w:rPr>
          <w:color w:val="6E6158"/>
        </w:rPr>
        <w:t>for</w:t>
      </w:r>
      <w:r>
        <w:rPr>
          <w:color w:val="6E6158"/>
          <w:spacing w:val="35"/>
        </w:rPr>
        <w:t> </w:t>
      </w:r>
      <w:r>
        <w:rPr>
          <w:color w:val="6E6158"/>
        </w:rPr>
        <w:t>shopping</w:t>
      </w:r>
      <w:r>
        <w:rPr>
          <w:color w:val="6E6158"/>
          <w:spacing w:val="35"/>
        </w:rPr>
        <w:t> </w:t>
      </w:r>
      <w:r>
        <w:rPr>
          <w:color w:val="6E6158"/>
        </w:rPr>
        <w:t>centers,</w:t>
      </w:r>
      <w:r>
        <w:rPr>
          <w:color w:val="6E6158"/>
          <w:spacing w:val="35"/>
        </w:rPr>
        <w:t> </w:t>
      </w:r>
      <w:r>
        <w:rPr>
          <w:color w:val="6E6158"/>
        </w:rPr>
        <w:t>office</w:t>
      </w:r>
      <w:r>
        <w:rPr>
          <w:color w:val="6E6158"/>
          <w:spacing w:val="35"/>
        </w:rPr>
        <w:t> </w:t>
      </w:r>
      <w:r>
        <w:rPr>
          <w:color w:val="6E6158"/>
        </w:rPr>
        <w:t>complexes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other</w:t>
      </w:r>
    </w:p>
    <w:p>
      <w:pPr>
        <w:pStyle w:val="BodyText"/>
        <w:spacing w:line="292" w:lineRule="auto" w:before="9"/>
        <w:ind w:right="631"/>
      </w:pPr>
      <w:r>
        <w:rPr>
          <w:color w:val="6E6158"/>
        </w:rPr>
        <w:t>projects. He also assists clients with real property issues related to receiverships, property management agreements and commercial leases.</w:t>
      </w:r>
    </w:p>
    <w:p>
      <w:pPr>
        <w:pStyle w:val="BodyText"/>
        <w:spacing w:line="292" w:lineRule="auto" w:before="197"/>
      </w:pPr>
      <w:r>
        <w:rPr>
          <w:color w:val="6E6158"/>
        </w:rPr>
        <w:t>Sean previously served as counsel to a developer with respect to financing associated with the</w:t>
      </w:r>
      <w:r>
        <w:rPr>
          <w:color w:val="6E6158"/>
          <w:spacing w:val="40"/>
        </w:rPr>
        <w:t> </w:t>
      </w:r>
      <w:r>
        <w:rPr>
          <w:color w:val="6E6158"/>
        </w:rPr>
        <w:t>construction of student housing at the University of Arizona.</w:t>
      </w:r>
    </w:p>
    <w:p>
      <w:pPr>
        <w:pStyle w:val="BodyText"/>
        <w:spacing w:before="204"/>
      </w:pPr>
      <w:r>
        <w:rPr>
          <w:color w:val="6E6158"/>
        </w:rPr>
        <w:t>Outside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office,</w:t>
      </w:r>
      <w:r>
        <w:rPr>
          <w:color w:val="6E6158"/>
          <w:spacing w:val="10"/>
        </w:rPr>
        <w:t> </w:t>
      </w:r>
      <w:r>
        <w:rPr>
          <w:color w:val="6E6158"/>
        </w:rPr>
        <w:t>Sean</w:t>
      </w:r>
      <w:r>
        <w:rPr>
          <w:color w:val="6E6158"/>
          <w:spacing w:val="11"/>
        </w:rPr>
        <w:t> </w:t>
      </w:r>
      <w:r>
        <w:rPr>
          <w:color w:val="6E6158"/>
        </w:rPr>
        <w:t>enjoys</w:t>
      </w:r>
      <w:r>
        <w:rPr>
          <w:color w:val="6E6158"/>
          <w:spacing w:val="10"/>
        </w:rPr>
        <w:t> </w:t>
      </w:r>
      <w:r>
        <w:rPr>
          <w:color w:val="6E6158"/>
        </w:rPr>
        <w:t>tennis,</w:t>
      </w:r>
      <w:r>
        <w:rPr>
          <w:color w:val="6E6158"/>
          <w:spacing w:val="11"/>
        </w:rPr>
        <w:t> </w:t>
      </w:r>
      <w:r>
        <w:rPr>
          <w:color w:val="6E6158"/>
        </w:rPr>
        <w:t>golf,</w:t>
      </w:r>
      <w:r>
        <w:rPr>
          <w:color w:val="6E6158"/>
          <w:spacing w:val="10"/>
        </w:rPr>
        <w:t> </w:t>
      </w:r>
      <w:r>
        <w:rPr>
          <w:color w:val="6E6158"/>
        </w:rPr>
        <w:t>hiking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traveling.</w:t>
      </w:r>
    </w:p>
    <w:p>
      <w:pPr>
        <w:pStyle w:val="Heading2"/>
        <w:spacing w:before="214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</w:t>
      </w:r>
      <w:r>
        <w:rPr>
          <w:color w:val="6E6158"/>
          <w:spacing w:val="12"/>
        </w:rPr>
        <w:t> </w:t>
      </w:r>
      <w:r>
        <w:rPr>
          <w:color w:val="6E6158"/>
        </w:rPr>
        <w:t>Pepperdine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</w:pPr>
      <w:r>
        <w:rPr>
          <w:color w:val="6E6158"/>
        </w:rPr>
        <w:t>M.B.A.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Arizona</w:t>
      </w:r>
    </w:p>
    <w:p>
      <w:pPr>
        <w:spacing w:line="408" w:lineRule="auto" w:before="172"/>
        <w:ind w:left="99" w:right="5485" w:firstLine="0"/>
        <w:jc w:val="left"/>
        <w:rPr>
          <w:sz w:val="19"/>
        </w:rPr>
      </w:pPr>
      <w:r>
        <w:rPr>
          <w:color w:val="6E6158"/>
          <w:sz w:val="19"/>
        </w:rPr>
        <w:t>B.S.,</w:t>
      </w:r>
      <w:r>
        <w:rPr>
          <w:color w:val="6E6158"/>
          <w:spacing w:val="-4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laude</w:t>
      </w:r>
      <w:r>
        <w:rPr>
          <w:color w:val="6E6158"/>
          <w:sz w:val="19"/>
        </w:rPr>
        <w:t>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Marietta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College</w:t>
      </w:r>
      <w:r>
        <w:rPr>
          <w:color w:val="6E6158"/>
          <w:sz w:val="19"/>
        </w:rPr>
        <w:t> Phi Beta Kappa</w:t>
      </w:r>
    </w:p>
    <w:p>
      <w:pPr>
        <w:pStyle w:val="BodyText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  <w:spacing w:line="420" w:lineRule="auto" w:before="1"/>
        <w:ind w:right="5801"/>
      </w:pPr>
      <w:r>
        <w:rPr>
          <w:color w:val="6E6158"/>
        </w:rPr>
        <w:t>Commercial and Real Estate </w:t>
      </w:r>
      <w:r>
        <w:rPr>
          <w:color w:val="6E6158"/>
        </w:rPr>
        <w:t>Finance Real Estate Finance and Lending</w:t>
      </w:r>
    </w:p>
    <w:p>
      <w:pPr>
        <w:pStyle w:val="BodyText"/>
        <w:spacing w:line="420" w:lineRule="auto" w:before="120"/>
        <w:ind w:right="7870"/>
      </w:pPr>
      <w:r>
        <w:rPr>
          <w:color w:val="6E6158"/>
        </w:rPr>
        <w:t>Real Estate</w:t>
      </w:r>
      <w:r>
        <w:rPr>
          <w:color w:val="6E6158"/>
          <w:spacing w:val="40"/>
        </w:rPr>
        <w:t> </w:t>
      </w:r>
      <w:r>
        <w:rPr>
          <w:color w:val="6E6158"/>
        </w:rPr>
        <w:t>Business &amp; </w:t>
      </w:r>
      <w:r>
        <w:rPr>
          <w:color w:val="6E6158"/>
        </w:rPr>
        <w:t>Finance</w:t>
      </w:r>
    </w:p>
    <w:p>
      <w:pPr>
        <w:pStyle w:val="Heading2"/>
        <w:spacing w:before="290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2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  <w:ind w:right="631"/>
      </w:pPr>
      <w:r>
        <w:rPr>
          <w:color w:val="6E6158"/>
        </w:rPr>
        <w:t>Represented a property owner in its development and sale of residential lots to national</w:t>
      </w:r>
      <w:r>
        <w:rPr>
          <w:color w:val="6E6158"/>
          <w:spacing w:val="40"/>
        </w:rPr>
        <w:t> </w:t>
      </w:r>
      <w:r>
        <w:rPr>
          <w:color w:val="6E6158"/>
        </w:rPr>
        <w:t>homebuilders within various master planned communities.</w:t>
      </w:r>
    </w:p>
    <w:p>
      <w:pPr>
        <w:pStyle w:val="BodyText"/>
        <w:spacing w:line="292" w:lineRule="auto" w:before="132"/>
        <w:ind w:right="914"/>
      </w:pPr>
      <w:r>
        <w:rPr>
          <w:color w:val="6E6158"/>
        </w:rPr>
        <w:t>Represented various affiliates of the Phoenix Suns in connection with the sale of $72 million in</w:t>
      </w:r>
      <w:r>
        <w:rPr>
          <w:color w:val="6E6158"/>
          <w:spacing w:val="40"/>
        </w:rPr>
        <w:t> </w:t>
      </w:r>
      <w:r>
        <w:rPr>
          <w:color w:val="6E6158"/>
        </w:rPr>
        <w:t>senior</w:t>
      </w:r>
      <w:r>
        <w:rPr>
          <w:color w:val="6E6158"/>
          <w:spacing w:val="25"/>
        </w:rPr>
        <w:t> </w:t>
      </w:r>
      <w:r>
        <w:rPr>
          <w:color w:val="6E6158"/>
        </w:rPr>
        <w:t>secured</w:t>
      </w:r>
      <w:r>
        <w:rPr>
          <w:color w:val="6E6158"/>
          <w:spacing w:val="25"/>
        </w:rPr>
        <w:t> </w:t>
      </w:r>
      <w:r>
        <w:rPr>
          <w:color w:val="6E6158"/>
        </w:rPr>
        <w:t>promissory</w:t>
      </w:r>
      <w:r>
        <w:rPr>
          <w:color w:val="6E6158"/>
          <w:spacing w:val="25"/>
        </w:rPr>
        <w:t> </w:t>
      </w:r>
      <w:r>
        <w:rPr>
          <w:color w:val="6E6158"/>
        </w:rPr>
        <w:t>notes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New</w:t>
      </w:r>
      <w:r>
        <w:rPr>
          <w:color w:val="6E6158"/>
          <w:spacing w:val="25"/>
        </w:rPr>
        <w:t> </w:t>
      </w:r>
      <w:r>
        <w:rPr>
          <w:color w:val="6E6158"/>
        </w:rPr>
        <w:t>York</w:t>
      </w:r>
      <w:r>
        <w:rPr>
          <w:color w:val="6E6158"/>
          <w:spacing w:val="25"/>
        </w:rPr>
        <w:t> </w:t>
      </w:r>
      <w:r>
        <w:rPr>
          <w:color w:val="6E6158"/>
        </w:rPr>
        <w:t>Life</w:t>
      </w:r>
      <w:r>
        <w:rPr>
          <w:color w:val="6E6158"/>
          <w:spacing w:val="25"/>
        </w:rPr>
        <w:t> </w:t>
      </w:r>
      <w:r>
        <w:rPr>
          <w:color w:val="6E6158"/>
        </w:rPr>
        <w:t>Insurance</w:t>
      </w:r>
      <w:r>
        <w:rPr>
          <w:color w:val="6E6158"/>
          <w:spacing w:val="25"/>
        </w:rPr>
        <w:t> </w:t>
      </w:r>
      <w:r>
        <w:rPr>
          <w:color w:val="6E6158"/>
        </w:rPr>
        <w:t>Company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related</w:t>
      </w:r>
      <w:r>
        <w:rPr>
          <w:color w:val="6E6158"/>
          <w:spacing w:val="25"/>
        </w:rPr>
        <w:t> </w:t>
      </w:r>
      <w:r>
        <w:rPr>
          <w:color w:val="6E6158"/>
        </w:rPr>
        <w:t>affiliates.</w:t>
      </w:r>
    </w:p>
    <w:p>
      <w:pPr>
        <w:pStyle w:val="BodyText"/>
        <w:spacing w:line="295" w:lineRule="auto" w:before="123"/>
        <w:ind w:right="631"/>
      </w:pPr>
      <w:r>
        <w:rPr>
          <w:color w:val="6E6158"/>
        </w:rPr>
        <w:t>Served</w:t>
      </w:r>
      <w:r>
        <w:rPr>
          <w:color w:val="6E6158"/>
          <w:spacing w:val="37"/>
        </w:rPr>
        <w:t> </w:t>
      </w:r>
      <w:r>
        <w:rPr>
          <w:color w:val="6E6158"/>
        </w:rPr>
        <w:t>as</w:t>
      </w:r>
      <w:r>
        <w:rPr>
          <w:color w:val="6E6158"/>
          <w:spacing w:val="37"/>
        </w:rPr>
        <w:t> </w:t>
      </w:r>
      <w:r>
        <w:rPr>
          <w:color w:val="6E6158"/>
        </w:rPr>
        <w:t>co-counsel</w:t>
      </w:r>
      <w:r>
        <w:rPr>
          <w:color w:val="6E6158"/>
          <w:spacing w:val="37"/>
        </w:rPr>
        <w:t> </w:t>
      </w:r>
      <w:r>
        <w:rPr>
          <w:color w:val="6E6158"/>
        </w:rPr>
        <w:t>to</w:t>
      </w:r>
      <w:r>
        <w:rPr>
          <w:color w:val="6E6158"/>
          <w:spacing w:val="37"/>
        </w:rPr>
        <w:t> </w:t>
      </w:r>
      <w:r>
        <w:rPr>
          <w:color w:val="6E6158"/>
        </w:rPr>
        <w:t>various</w:t>
      </w:r>
      <w:r>
        <w:rPr>
          <w:color w:val="6E6158"/>
          <w:spacing w:val="37"/>
        </w:rPr>
        <w:t> </w:t>
      </w:r>
      <w:r>
        <w:rPr>
          <w:color w:val="6E6158"/>
        </w:rPr>
        <w:t>automotive</w:t>
      </w:r>
      <w:r>
        <w:rPr>
          <w:color w:val="6E6158"/>
          <w:spacing w:val="37"/>
        </w:rPr>
        <w:t> </w:t>
      </w:r>
      <w:r>
        <w:rPr>
          <w:color w:val="6E6158"/>
        </w:rPr>
        <w:t>manufacturers</w:t>
      </w:r>
      <w:r>
        <w:rPr>
          <w:color w:val="6E6158"/>
          <w:spacing w:val="37"/>
        </w:rPr>
        <w:t> </w:t>
      </w:r>
      <w:r>
        <w:rPr>
          <w:color w:val="6E6158"/>
        </w:rPr>
        <w:t>for</w:t>
      </w:r>
      <w:r>
        <w:rPr>
          <w:color w:val="6E6158"/>
          <w:spacing w:val="37"/>
        </w:rPr>
        <w:t> </w:t>
      </w:r>
      <w:r>
        <w:rPr>
          <w:color w:val="6E6158"/>
        </w:rPr>
        <w:t>Arizona-related</w:t>
      </w:r>
      <w:r>
        <w:rPr>
          <w:color w:val="6E6158"/>
          <w:spacing w:val="37"/>
        </w:rPr>
        <w:t> </w:t>
      </w:r>
      <w:r>
        <w:rPr>
          <w:color w:val="6E6158"/>
        </w:rPr>
        <w:t>work</w:t>
      </w:r>
      <w:r>
        <w:rPr>
          <w:color w:val="6E6158"/>
          <w:spacing w:val="37"/>
        </w:rPr>
        <w:t> </w:t>
      </w:r>
      <w:r>
        <w:rPr>
          <w:color w:val="6E6158"/>
        </w:rPr>
        <w:t>in connection with financing from the United States Department of the Treasury and with respect to</w:t>
      </w:r>
      <w:r>
        <w:rPr>
          <w:color w:val="6E6158"/>
          <w:spacing w:val="40"/>
        </w:rPr>
        <w:t> </w:t>
      </w:r>
      <w:r>
        <w:rPr>
          <w:color w:val="6E6158"/>
        </w:rPr>
        <w:t>the transfer and pledge of Arizona-located corporate and subsidiary assets attendant to Section</w:t>
      </w:r>
      <w:r>
        <w:rPr>
          <w:color w:val="6E6158"/>
          <w:spacing w:val="40"/>
        </w:rPr>
        <w:t> </w:t>
      </w:r>
      <w:r>
        <w:rPr>
          <w:color w:val="6E6158"/>
        </w:rPr>
        <w:t>363 actions under the United States Bankruptcy Code.</w:t>
      </w:r>
    </w:p>
    <w:p>
      <w:pPr>
        <w:pStyle w:val="BodyText"/>
        <w:spacing w:line="292" w:lineRule="auto" w:before="123"/>
        <w:ind w:right="631"/>
      </w:pPr>
      <w:r>
        <w:rPr>
          <w:color w:val="6E6158"/>
        </w:rPr>
        <w:t>Served as co-counsel to an independent oil refiner and various Arizona subsidiaries attendant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issuance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secured</w:t>
      </w:r>
      <w:r>
        <w:rPr>
          <w:color w:val="6E6158"/>
          <w:spacing w:val="28"/>
        </w:rPr>
        <w:t> </w:t>
      </w:r>
      <w:r>
        <w:rPr>
          <w:color w:val="6E6158"/>
        </w:rPr>
        <w:t>notes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floating</w:t>
      </w:r>
      <w:r>
        <w:rPr>
          <w:color w:val="6E6158"/>
          <w:spacing w:val="28"/>
        </w:rPr>
        <w:t> </w:t>
      </w:r>
      <w:r>
        <w:rPr>
          <w:color w:val="6E6158"/>
        </w:rPr>
        <w:t>rate</w:t>
      </w:r>
      <w:r>
        <w:rPr>
          <w:color w:val="6E6158"/>
          <w:spacing w:val="28"/>
        </w:rPr>
        <w:t> </w:t>
      </w:r>
      <w:r>
        <w:rPr>
          <w:color w:val="6E6158"/>
        </w:rPr>
        <w:t>notes</w:t>
      </w:r>
      <w:r>
        <w:rPr>
          <w:color w:val="6E6158"/>
          <w:spacing w:val="28"/>
        </w:rPr>
        <w:t> </w:t>
      </w:r>
      <w:r>
        <w:rPr>
          <w:color w:val="6E6158"/>
        </w:rPr>
        <w:t>in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private</w:t>
      </w:r>
      <w:r>
        <w:rPr>
          <w:color w:val="6E6158"/>
          <w:spacing w:val="28"/>
        </w:rPr>
        <w:t> </w:t>
      </w:r>
      <w:r>
        <w:rPr>
          <w:color w:val="6E6158"/>
        </w:rPr>
        <w:t>placement</w:t>
      </w:r>
      <w:r>
        <w:rPr>
          <w:color w:val="6E6158"/>
          <w:spacing w:val="28"/>
        </w:rPr>
        <w:t> </w:t>
      </w:r>
      <w:r>
        <w:rPr>
          <w:color w:val="6E6158"/>
        </w:rPr>
        <w:t>offering.</w:t>
      </w:r>
    </w:p>
    <w:p>
      <w:pPr>
        <w:pStyle w:val="BodyText"/>
        <w:spacing w:line="292" w:lineRule="auto" w:before="132"/>
        <w:ind w:right="631"/>
      </w:pPr>
      <w:r>
        <w:rPr>
          <w:color w:val="6E6158"/>
        </w:rPr>
        <w:t>Acted as lead and co-counsel to various lenders and life insurance companies with respect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real estate acquisition, construction, and permanent financing.</w:t>
      </w:r>
    </w:p>
    <w:p>
      <w:pPr>
        <w:pStyle w:val="BodyText"/>
        <w:spacing w:line="297" w:lineRule="auto" w:before="123"/>
        <w:ind w:right="730"/>
        <w:jc w:val="both"/>
      </w:pPr>
      <w:r>
        <w:rPr>
          <w:color w:val="6E6158"/>
        </w:rPr>
        <w:t>Served as counsel to the largest low-income housing tax credit multifamily developer in United States with respect to property acquisitions, construction, and financing of multifamily housing projects throughout Arizona.</w:t>
      </w:r>
    </w:p>
    <w:p>
      <w:pPr>
        <w:pStyle w:val="BodyText"/>
        <w:spacing w:line="297" w:lineRule="auto" w:before="118"/>
        <w:ind w:right="631"/>
      </w:pPr>
      <w:r>
        <w:rPr>
          <w:color w:val="6E6158"/>
        </w:rPr>
        <w:t>Represented national homebuilders with respect to acquisition and development of </w:t>
      </w:r>
      <w:r>
        <w:rPr>
          <w:color w:val="6E6158"/>
        </w:rPr>
        <w:t>master</w:t>
      </w:r>
      <w:r>
        <w:rPr>
          <w:color w:val="6E6158"/>
          <w:spacing w:val="40"/>
        </w:rPr>
        <w:t> </w:t>
      </w:r>
      <w:r>
        <w:rPr>
          <w:color w:val="6E6158"/>
        </w:rPr>
        <w:t>planned communities including the negotiation and preparation of joint development</w:t>
      </w:r>
      <w:r>
        <w:rPr>
          <w:color w:val="6E6158"/>
          <w:spacing w:val="40"/>
        </w:rPr>
        <w:t> </w:t>
      </w:r>
      <w:r>
        <w:rPr>
          <w:color w:val="6E6158"/>
        </w:rPr>
        <w:t>agreements with participating homebuilders.</w:t>
      </w:r>
    </w:p>
    <w:p>
      <w:pPr>
        <w:pStyle w:val="BodyText"/>
        <w:spacing w:line="292" w:lineRule="auto" w:before="118"/>
        <w:ind w:right="631"/>
      </w:pPr>
      <w:r>
        <w:rPr>
          <w:color w:val="6E6158"/>
        </w:rPr>
        <w:t>Served as counsel to multiple borrowers with respect to financing associated with various office</w:t>
      </w:r>
      <w:r>
        <w:rPr>
          <w:color w:val="6E6158"/>
          <w:spacing w:val="40"/>
        </w:rPr>
        <w:t> </w:t>
      </w:r>
      <w:r>
        <w:rPr>
          <w:color w:val="6E6158"/>
        </w:rPr>
        <w:t>and retail projects throughout Arizona.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9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4665"/>
      </w:pPr>
      <w:r>
        <w:rPr>
          <w:color w:val="6E6158"/>
        </w:rPr>
        <w:t>Member, Real Property Section, State Bar of </w:t>
      </w:r>
      <w:r>
        <w:rPr>
          <w:color w:val="6E6158"/>
        </w:rPr>
        <w:t>Arizona Member, Business Law Section, State Bar of Arizona Member, District of Columbia Bar Association Member, Men’s Arts Council, Phoenix Art Museum</w:t>
      </w:r>
    </w:p>
    <w:p>
      <w:pPr>
        <w:pStyle w:val="BodyText"/>
        <w:spacing w:line="229" w:lineRule="exact"/>
      </w:pPr>
      <w:r>
        <w:rPr>
          <w:color w:val="6E6158"/>
        </w:rPr>
        <w:t>Member,</w:t>
      </w:r>
      <w:r>
        <w:rPr>
          <w:color w:val="6E6158"/>
          <w:spacing w:val="8"/>
        </w:rPr>
        <w:t> </w:t>
      </w:r>
      <w:r>
        <w:rPr>
          <w:color w:val="6E6158"/>
        </w:rPr>
        <w:t>Valley</w:t>
      </w:r>
      <w:r>
        <w:rPr>
          <w:color w:val="6E6158"/>
          <w:spacing w:val="9"/>
        </w:rPr>
        <w:t> </w:t>
      </w:r>
      <w:r>
        <w:rPr>
          <w:color w:val="6E6158"/>
        </w:rPr>
        <w:t>Partnership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Metropolitan</w:t>
      </w:r>
      <w:r>
        <w:rPr>
          <w:color w:val="6E6158"/>
          <w:spacing w:val="9"/>
        </w:rPr>
        <w:t> </w:t>
      </w:r>
      <w:r>
        <w:rPr>
          <w:color w:val="6E6158"/>
        </w:rPr>
        <w:t>Phoenix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Area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District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Columbia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ssabo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Sean M. Sabo - Fennemore</dc:title>
  <dcterms:created xsi:type="dcterms:W3CDTF">2026-08-21T19:38:49Z</dcterms:created>
  <dcterms:modified xsi:type="dcterms:W3CDTF">2026-08-21T19:38:49Z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